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D83" w:rsidRDefault="00790D83" w:rsidP="00790D83">
      <w:pPr>
        <w:widowControl/>
        <w:jc w:val="left"/>
        <w:rPr>
          <w:rFonts w:ascii="宋体" w:eastAsia="宋体" w:hAnsi="宋体" w:cs="宋体"/>
          <w:b/>
          <w:bCs/>
          <w:kern w:val="0"/>
          <w:sz w:val="24"/>
          <w:szCs w:val="24"/>
        </w:rPr>
      </w:pPr>
      <w:r w:rsidRPr="00790D83">
        <w:rPr>
          <w:rFonts w:ascii="宋体" w:eastAsia="宋体" w:hAnsi="宋体" w:cs="宋体"/>
          <w:b/>
          <w:bCs/>
          <w:noProof/>
          <w:kern w:val="0"/>
          <w:sz w:val="24"/>
          <w:szCs w:val="24"/>
        </w:rPr>
        <w:drawing>
          <wp:inline distT="0" distB="0" distL="0" distR="0">
            <wp:extent cx="5274310" cy="8254944"/>
            <wp:effectExtent l="0" t="0" r="2540" b="0"/>
            <wp:docPr id="1" name="图片 1" descr="C:\Users\Admin\Downloads\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6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8254944"/>
                    </a:xfrm>
                    <a:prstGeom prst="rect">
                      <a:avLst/>
                    </a:prstGeom>
                    <a:noFill/>
                    <a:ln>
                      <a:noFill/>
                    </a:ln>
                  </pic:spPr>
                </pic:pic>
              </a:graphicData>
            </a:graphic>
          </wp:inline>
        </w:drawing>
      </w:r>
      <w:r w:rsidR="00DD3B8C" w:rsidRPr="00DD3B8C">
        <w:rPr>
          <w:rFonts w:ascii="宋体" w:eastAsia="宋体" w:hAnsi="宋体" w:cs="宋体"/>
          <w:b/>
          <w:bCs/>
          <w:noProof/>
          <w:kern w:val="0"/>
          <w:sz w:val="24"/>
          <w:szCs w:val="24"/>
        </w:rPr>
        <w:lastRenderedPageBreak/>
        <w:drawing>
          <wp:inline distT="0" distB="0" distL="0" distR="0">
            <wp:extent cx="4254500" cy="2448560"/>
            <wp:effectExtent l="0" t="0" r="0" b="8890"/>
            <wp:docPr id="2" name="图片 2" descr="C:\Users\Admin\Downloads\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6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4500" cy="2448560"/>
                    </a:xfrm>
                    <a:prstGeom prst="rect">
                      <a:avLst/>
                    </a:prstGeom>
                    <a:noFill/>
                    <a:ln>
                      <a:noFill/>
                    </a:ln>
                  </pic:spPr>
                </pic:pic>
              </a:graphicData>
            </a:graphic>
          </wp:inline>
        </w:drawing>
      </w:r>
    </w:p>
    <w:p w:rsidR="00DD3B8C" w:rsidRDefault="00DD3B8C" w:rsidP="00790D83">
      <w:pPr>
        <w:widowControl/>
        <w:jc w:val="left"/>
        <w:rPr>
          <w:rFonts w:ascii="宋体" w:eastAsia="宋体" w:hAnsi="宋体" w:cs="宋体"/>
          <w:b/>
          <w:bCs/>
          <w:kern w:val="0"/>
          <w:sz w:val="24"/>
          <w:szCs w:val="24"/>
        </w:rPr>
      </w:pPr>
      <w:r>
        <w:rPr>
          <w:noProof/>
        </w:rPr>
        <w:drawing>
          <wp:inline distT="0" distB="0" distL="0" distR="0">
            <wp:extent cx="4354830" cy="2200910"/>
            <wp:effectExtent l="0" t="0" r="7620" b="889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4830" cy="2200910"/>
                    </a:xfrm>
                    <a:prstGeom prst="rect">
                      <a:avLst/>
                    </a:prstGeom>
                    <a:noFill/>
                    <a:ln>
                      <a:noFill/>
                    </a:ln>
                  </pic:spPr>
                </pic:pic>
              </a:graphicData>
            </a:graphic>
          </wp:inline>
        </w:drawing>
      </w:r>
    </w:p>
    <w:p w:rsidR="00347F72" w:rsidRDefault="00347F72" w:rsidP="00790D83">
      <w:pPr>
        <w:widowControl/>
        <w:jc w:val="left"/>
        <w:rPr>
          <w:rFonts w:ascii="宋体" w:eastAsia="宋体" w:hAnsi="宋体" w:cs="宋体" w:hint="eastAsia"/>
          <w:b/>
          <w:bCs/>
          <w:kern w:val="0"/>
          <w:sz w:val="24"/>
          <w:szCs w:val="24"/>
        </w:rPr>
      </w:pPr>
      <w:r>
        <w:rPr>
          <w:noProof/>
        </w:rPr>
        <w:lastRenderedPageBreak/>
        <w:drawing>
          <wp:inline distT="0" distB="0" distL="0" distR="0">
            <wp:extent cx="3703955" cy="7206615"/>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3955" cy="7206615"/>
                    </a:xfrm>
                    <a:prstGeom prst="rect">
                      <a:avLst/>
                    </a:prstGeom>
                    <a:noFill/>
                    <a:ln>
                      <a:noFill/>
                    </a:ln>
                  </pic:spPr>
                </pic:pic>
              </a:graphicData>
            </a:graphic>
          </wp:inline>
        </w:drawing>
      </w:r>
      <w:bookmarkStart w:id="0" w:name="_GoBack"/>
      <w:bookmarkEnd w:id="0"/>
    </w:p>
    <w:p w:rsidR="00790D83" w:rsidRPr="00790D83" w:rsidRDefault="00790D83" w:rsidP="00790D83">
      <w:pPr>
        <w:widowControl/>
        <w:jc w:val="left"/>
        <w:rPr>
          <w:rFonts w:ascii="宋体" w:eastAsia="宋体" w:hAnsi="宋体" w:cs="宋体"/>
          <w:kern w:val="0"/>
          <w:sz w:val="24"/>
          <w:szCs w:val="24"/>
        </w:rPr>
      </w:pPr>
      <w:r w:rsidRPr="00790D83">
        <w:rPr>
          <w:rFonts w:ascii="宋体" w:eastAsia="宋体" w:hAnsi="宋体" w:cs="宋体"/>
          <w:b/>
          <w:bCs/>
          <w:kern w:val="0"/>
          <w:sz w:val="24"/>
          <w:szCs w:val="24"/>
        </w:rPr>
        <w:t>内容简介</w:t>
      </w:r>
    </w:p>
    <w:p w:rsidR="00790D83" w:rsidRPr="00790D83" w:rsidRDefault="00790D83" w:rsidP="00790D83">
      <w:pPr>
        <w:widowControl/>
        <w:shd w:val="clear" w:color="auto" w:fill="FFFFFF"/>
        <w:spacing w:line="360" w:lineRule="atLeast"/>
        <w:ind w:firstLine="480"/>
        <w:rPr>
          <w:rFonts w:ascii="Microsoft YaHei UI" w:eastAsia="Microsoft YaHei UI" w:hAnsi="Microsoft YaHei UI" w:cs="宋体"/>
          <w:spacing w:val="8"/>
          <w:kern w:val="0"/>
          <w:sz w:val="26"/>
          <w:szCs w:val="26"/>
        </w:rPr>
      </w:pPr>
      <w:r w:rsidRPr="00790D83">
        <w:rPr>
          <w:rFonts w:ascii="Microsoft YaHei UI" w:eastAsia="Microsoft YaHei UI" w:hAnsi="Microsoft YaHei UI" w:cs="宋体" w:hint="eastAsia"/>
          <w:color w:val="222222"/>
          <w:spacing w:val="8"/>
          <w:kern w:val="0"/>
          <w:szCs w:val="21"/>
        </w:rPr>
        <w:t xml:space="preserve">本书面向 2035 年，对海洋环境保障、海洋开发、海洋防灾减灾、海洋信息化、海洋探测 5 </w:t>
      </w:r>
      <w:proofErr w:type="gramStart"/>
      <w:r w:rsidRPr="00790D83">
        <w:rPr>
          <w:rFonts w:ascii="Microsoft YaHei UI" w:eastAsia="Microsoft YaHei UI" w:hAnsi="Microsoft YaHei UI" w:cs="宋体" w:hint="eastAsia"/>
          <w:color w:val="222222"/>
          <w:spacing w:val="8"/>
          <w:kern w:val="0"/>
          <w:szCs w:val="21"/>
        </w:rPr>
        <w:t>个</w:t>
      </w:r>
      <w:proofErr w:type="gramEnd"/>
      <w:r w:rsidRPr="00790D83">
        <w:rPr>
          <w:rFonts w:ascii="Microsoft YaHei UI" w:eastAsia="Microsoft YaHei UI" w:hAnsi="Microsoft YaHei UI" w:cs="宋体" w:hint="eastAsia"/>
          <w:color w:val="222222"/>
          <w:spacing w:val="8"/>
          <w:kern w:val="0"/>
          <w:szCs w:val="21"/>
        </w:rPr>
        <w:t xml:space="preserve">海洋技术子领域进行预见分析。邀请国内权威海洋科技专家系统展望各子领域的发展趋势和前景，遴选出中国海洋领域未来最重要的 16 </w:t>
      </w:r>
      <w:proofErr w:type="gramStart"/>
      <w:r w:rsidRPr="00790D83">
        <w:rPr>
          <w:rFonts w:ascii="Microsoft YaHei UI" w:eastAsia="Microsoft YaHei UI" w:hAnsi="Microsoft YaHei UI" w:cs="宋体" w:hint="eastAsia"/>
          <w:color w:val="222222"/>
          <w:spacing w:val="8"/>
          <w:kern w:val="0"/>
          <w:szCs w:val="21"/>
        </w:rPr>
        <w:t>项关键</w:t>
      </w:r>
      <w:proofErr w:type="gramEnd"/>
      <w:r w:rsidRPr="00790D83">
        <w:rPr>
          <w:rFonts w:ascii="Microsoft YaHei UI" w:eastAsia="Microsoft YaHei UI" w:hAnsi="Microsoft YaHei UI" w:cs="宋体" w:hint="eastAsia"/>
          <w:color w:val="222222"/>
          <w:spacing w:val="8"/>
          <w:kern w:val="0"/>
          <w:szCs w:val="21"/>
        </w:rPr>
        <w:t>技术并进</w:t>
      </w:r>
      <w:r w:rsidRPr="00790D83">
        <w:rPr>
          <w:rFonts w:ascii="Microsoft YaHei UI" w:eastAsia="Microsoft YaHei UI" w:hAnsi="Microsoft YaHei UI" w:cs="宋体" w:hint="eastAsia"/>
          <w:color w:val="222222"/>
          <w:spacing w:val="8"/>
          <w:kern w:val="0"/>
          <w:szCs w:val="21"/>
        </w:rPr>
        <w:lastRenderedPageBreak/>
        <w:t>行详细述评。本书对我国海洋技术预见研究、关键技术选择、重大科技政策及产业政策制定具有重要的现实意义与理论价值。</w:t>
      </w:r>
    </w:p>
    <w:p w:rsidR="00790D83" w:rsidRPr="00790D83" w:rsidRDefault="00790D83" w:rsidP="00790D83">
      <w:pPr>
        <w:widowControl/>
        <w:shd w:val="clear" w:color="auto" w:fill="FFFFFF"/>
        <w:spacing w:line="360" w:lineRule="atLeast"/>
        <w:ind w:firstLine="480"/>
        <w:rPr>
          <w:rFonts w:ascii="Microsoft YaHei UI" w:eastAsia="Microsoft YaHei UI" w:hAnsi="Microsoft YaHei UI" w:cs="宋体" w:hint="eastAsia"/>
          <w:spacing w:val="8"/>
          <w:kern w:val="0"/>
          <w:sz w:val="26"/>
          <w:szCs w:val="26"/>
        </w:rPr>
      </w:pPr>
      <w:r w:rsidRPr="00790D83">
        <w:rPr>
          <w:rFonts w:ascii="Microsoft YaHei UI" w:eastAsia="Microsoft YaHei UI" w:hAnsi="Microsoft YaHei UI" w:cs="宋体" w:hint="eastAsia"/>
          <w:color w:val="222222"/>
          <w:spacing w:val="8"/>
          <w:kern w:val="0"/>
          <w:szCs w:val="21"/>
        </w:rPr>
        <w:t>本书适合科技决策部门工作人员和管理者、广大科学技术工作者及科技政策人员阅读，有助于其了解海洋技术发展的现状与热点，科学判断和前瞻把握海洋技术发展的前沿与趋势，有效支撑科技战略决策与科技规划的研究编制。</w:t>
      </w:r>
    </w:p>
    <w:p w:rsidR="00790D83" w:rsidRPr="00790D83" w:rsidRDefault="00790D83" w:rsidP="00790D83">
      <w:pPr>
        <w:widowControl/>
        <w:shd w:val="clear" w:color="auto" w:fill="FFFFFF"/>
        <w:spacing w:line="360" w:lineRule="atLeast"/>
        <w:ind w:firstLine="480"/>
        <w:rPr>
          <w:rFonts w:ascii="Microsoft YaHei UI" w:eastAsia="Microsoft YaHei UI" w:hAnsi="Microsoft YaHei UI" w:cs="宋体" w:hint="eastAsia"/>
          <w:spacing w:val="8"/>
          <w:kern w:val="0"/>
          <w:sz w:val="26"/>
          <w:szCs w:val="26"/>
        </w:rPr>
      </w:pPr>
    </w:p>
    <w:p w:rsidR="007A65FF" w:rsidRDefault="00790D83" w:rsidP="00790D83">
      <w:r w:rsidRPr="00790D83">
        <w:rPr>
          <w:rFonts w:ascii="宋体" w:eastAsia="宋体" w:hAnsi="宋体" w:cs="宋体"/>
          <w:b/>
          <w:bCs/>
          <w:kern w:val="0"/>
          <w:sz w:val="24"/>
          <w:szCs w:val="24"/>
        </w:rPr>
        <w:t>丛书编委会主任兼</w:t>
      </w:r>
      <w:r w:rsidRPr="00790D83">
        <w:rPr>
          <w:rFonts w:ascii="Microsoft YaHei UI" w:eastAsia="Microsoft YaHei UI" w:hAnsi="Microsoft YaHei UI" w:cs="宋体" w:hint="eastAsia"/>
          <w:b/>
          <w:bCs/>
          <w:color w:val="222222"/>
          <w:spacing w:val="8"/>
          <w:kern w:val="0"/>
          <w:sz w:val="24"/>
          <w:szCs w:val="24"/>
        </w:rPr>
        <w:t>研究组组长</w:t>
      </w:r>
      <w:r w:rsidRPr="00790D83">
        <w:rPr>
          <w:rFonts w:ascii="宋体" w:eastAsia="宋体" w:hAnsi="宋体" w:cs="宋体"/>
          <w:b/>
          <w:bCs/>
          <w:kern w:val="0"/>
          <w:sz w:val="24"/>
          <w:szCs w:val="24"/>
        </w:rPr>
        <w:t>简介</w:t>
      </w:r>
      <w:r w:rsidRPr="00790D83">
        <w:rPr>
          <w:rFonts w:ascii="Helvetica" w:eastAsia="宋体" w:hAnsi="Helvetica" w:cs="Helvetica"/>
          <w:color w:val="222222"/>
          <w:spacing w:val="8"/>
          <w:kern w:val="0"/>
          <w:szCs w:val="21"/>
        </w:rPr>
        <w:br/>
      </w:r>
      <w:proofErr w:type="gramStart"/>
      <w:r w:rsidRPr="00790D83">
        <w:rPr>
          <w:rFonts w:ascii="宋体" w:eastAsia="宋体" w:hAnsi="宋体" w:cs="宋体"/>
          <w:kern w:val="0"/>
          <w:sz w:val="24"/>
          <w:szCs w:val="24"/>
        </w:rPr>
        <w:t>穆荣平</w:t>
      </w:r>
      <w:proofErr w:type="gramEnd"/>
      <w:r w:rsidRPr="00790D83">
        <w:rPr>
          <w:rFonts w:ascii="宋体" w:eastAsia="宋体" w:hAnsi="宋体" w:cs="宋体"/>
          <w:kern w:val="0"/>
          <w:sz w:val="24"/>
          <w:szCs w:val="24"/>
        </w:rPr>
        <w:t>，中</w:t>
      </w:r>
      <w:r w:rsidRPr="00790D83">
        <w:rPr>
          <w:rFonts w:ascii="微软雅黑" w:eastAsia="微软雅黑" w:hAnsi="微软雅黑" w:cs="宋体" w:hint="eastAsia"/>
          <w:color w:val="000000"/>
          <w:kern w:val="0"/>
          <w:sz w:val="24"/>
          <w:szCs w:val="24"/>
        </w:rPr>
        <w:t>国科学院科技战略咨询研究院研究员，兼任中国科学院创新发展研究中心主任、《科研管理》主编，中国科学学与科技政策研究会理事长，中国高技术产业发展促进会理事长，十三五国家发展规划专家委员会委员，国家战略性新兴产业专家咨询委员会委员，国家知识产权局专家咨询委员会委员，长期从事技术预见、技术转移、科技和创新发展政策、高技术产业国际竞争力研究。曾任中国科学院科技政策与管理科学研究所所长，欧洲专利局科学和经济咨询委员会成员。</w:t>
      </w:r>
      <w:r w:rsidRPr="00790D83">
        <w:rPr>
          <w:rFonts w:ascii="宋体" w:eastAsia="宋体" w:hAnsi="宋体" w:cs="宋体"/>
          <w:kern w:val="0"/>
          <w:sz w:val="24"/>
          <w:szCs w:val="24"/>
        </w:rPr>
        <w:br/>
      </w:r>
      <w:r w:rsidRPr="00790D83">
        <w:rPr>
          <w:rFonts w:ascii="Microsoft YaHei UI" w:eastAsia="Microsoft YaHei UI" w:hAnsi="Microsoft YaHei UI" w:cs="Helvetica" w:hint="eastAsia"/>
          <w:b/>
          <w:bCs/>
          <w:color w:val="222222"/>
          <w:spacing w:val="8"/>
          <w:kern w:val="0"/>
          <w:sz w:val="23"/>
          <w:szCs w:val="23"/>
        </w:rPr>
        <w:t>专家组组长简介</w:t>
      </w:r>
      <w:r w:rsidRPr="00790D83">
        <w:rPr>
          <w:rFonts w:ascii="Helvetica" w:eastAsia="宋体" w:hAnsi="Helvetica" w:cs="Helvetica"/>
          <w:color w:val="222222"/>
          <w:spacing w:val="8"/>
          <w:kern w:val="0"/>
          <w:szCs w:val="21"/>
        </w:rPr>
        <w:t>孙松，海洋生物学家，</w:t>
      </w:r>
      <w:r w:rsidRPr="00790D83">
        <w:rPr>
          <w:rFonts w:ascii="Arial" w:eastAsia="宋体" w:hAnsi="Arial" w:cs="Arial"/>
          <w:color w:val="222222"/>
          <w:spacing w:val="8"/>
          <w:kern w:val="0"/>
          <w:szCs w:val="21"/>
        </w:rPr>
        <w:t>973</w:t>
      </w:r>
      <w:r w:rsidRPr="00790D83">
        <w:rPr>
          <w:rFonts w:ascii="Arial" w:eastAsia="宋体" w:hAnsi="Arial" w:cs="Arial"/>
          <w:color w:val="222222"/>
          <w:spacing w:val="8"/>
          <w:kern w:val="0"/>
          <w:szCs w:val="21"/>
        </w:rPr>
        <w:t>项目首席科学家，</w:t>
      </w:r>
      <w:r w:rsidRPr="00790D83">
        <w:rPr>
          <w:rFonts w:ascii="宋体" w:eastAsia="宋体" w:hAnsi="宋体" w:cs="宋体"/>
          <w:kern w:val="0"/>
          <w:sz w:val="24"/>
          <w:szCs w:val="24"/>
        </w:rPr>
        <w:t>国际欧亚科学院院士</w:t>
      </w:r>
      <w:r w:rsidRPr="00790D83">
        <w:rPr>
          <w:rFonts w:ascii="Arial" w:eastAsia="宋体" w:hAnsi="Arial" w:cs="Arial"/>
          <w:spacing w:val="8"/>
          <w:kern w:val="0"/>
          <w:sz w:val="24"/>
          <w:szCs w:val="24"/>
        </w:rPr>
        <w:t>。中国科学院海洋研究所原所长、中国科学院大学海洋学院院长、中国海洋湖沼学会理事长、中国海洋学会副理事长。长期从事海洋生态学和生物海洋学研究，</w:t>
      </w:r>
      <w:r w:rsidRPr="00790D83">
        <w:rPr>
          <w:rFonts w:ascii="Arial" w:eastAsia="宋体" w:hAnsi="Arial" w:cs="Arial"/>
          <w:spacing w:val="8"/>
          <w:kern w:val="0"/>
          <w:sz w:val="24"/>
          <w:szCs w:val="24"/>
        </w:rPr>
        <w:t xml:space="preserve"> </w:t>
      </w:r>
      <w:r w:rsidRPr="00790D83">
        <w:rPr>
          <w:rFonts w:ascii="Arial" w:eastAsia="宋体" w:hAnsi="Arial" w:cs="Arial"/>
          <w:spacing w:val="8"/>
          <w:kern w:val="0"/>
          <w:sz w:val="24"/>
          <w:szCs w:val="24"/>
        </w:rPr>
        <w:t>曾三次赴南极进行科学考察，在国际上首先证实南极磷虾在自然环境下存在负生长，并建立了利用磷虾的复眼直径与体长的比率关系判断其负生长程度的方法；在我国近海生态系统演变和生态系统灾害研究领域，率先开展浮游动物关键种和功能群的研究，在灾害水母的暴发机制方面取得突破性进展，相关研究成果分别被</w:t>
      </w:r>
      <w:r w:rsidRPr="00790D83">
        <w:rPr>
          <w:rFonts w:ascii="Arial" w:eastAsia="宋体" w:hAnsi="Arial" w:cs="Arial"/>
          <w:i/>
          <w:iCs/>
          <w:spacing w:val="8"/>
          <w:kern w:val="0"/>
          <w:sz w:val="24"/>
          <w:szCs w:val="24"/>
        </w:rPr>
        <w:t>Nature</w:t>
      </w:r>
      <w:r w:rsidRPr="00790D83">
        <w:rPr>
          <w:rFonts w:ascii="Arial" w:eastAsia="宋体" w:hAnsi="Arial" w:cs="Arial"/>
          <w:i/>
          <w:iCs/>
          <w:spacing w:val="8"/>
          <w:kern w:val="0"/>
          <w:sz w:val="24"/>
          <w:szCs w:val="24"/>
        </w:rPr>
        <w:t>、</w:t>
      </w:r>
      <w:r w:rsidRPr="00790D83">
        <w:rPr>
          <w:rFonts w:ascii="Arial" w:eastAsia="宋体" w:hAnsi="Arial" w:cs="Arial"/>
          <w:i/>
          <w:iCs/>
          <w:spacing w:val="8"/>
          <w:kern w:val="0"/>
          <w:sz w:val="24"/>
          <w:szCs w:val="24"/>
        </w:rPr>
        <w:t>Science</w:t>
      </w:r>
      <w:r w:rsidRPr="00790D83">
        <w:rPr>
          <w:rFonts w:ascii="Arial" w:eastAsia="宋体" w:hAnsi="Arial" w:cs="Arial"/>
          <w:spacing w:val="8"/>
          <w:kern w:val="0"/>
          <w:sz w:val="24"/>
          <w:szCs w:val="24"/>
        </w:rPr>
        <w:t>报道；在深海探测与研究领域，率领团队完成了我国第一个海洋领域大科学工程项目</w:t>
      </w:r>
      <w:r w:rsidRPr="00790D83">
        <w:rPr>
          <w:rFonts w:ascii="Arial" w:eastAsia="宋体" w:hAnsi="Arial" w:cs="Arial"/>
          <w:spacing w:val="8"/>
          <w:kern w:val="0"/>
          <w:sz w:val="24"/>
          <w:szCs w:val="24"/>
        </w:rPr>
        <w:t>“</w:t>
      </w:r>
      <w:r w:rsidRPr="00790D83">
        <w:rPr>
          <w:rFonts w:ascii="Arial" w:eastAsia="宋体" w:hAnsi="Arial" w:cs="Arial"/>
          <w:spacing w:val="8"/>
          <w:kern w:val="0"/>
          <w:sz w:val="24"/>
          <w:szCs w:val="24"/>
        </w:rPr>
        <w:t>科学</w:t>
      </w:r>
      <w:r w:rsidRPr="00790D83">
        <w:rPr>
          <w:rFonts w:ascii="Arial" w:eastAsia="宋体" w:hAnsi="Arial" w:cs="Arial"/>
          <w:spacing w:val="8"/>
          <w:kern w:val="0"/>
          <w:sz w:val="24"/>
          <w:szCs w:val="24"/>
        </w:rPr>
        <w:t>”</w:t>
      </w:r>
      <w:r w:rsidRPr="00790D83">
        <w:rPr>
          <w:rFonts w:ascii="Arial" w:eastAsia="宋体" w:hAnsi="Arial" w:cs="Arial"/>
          <w:spacing w:val="8"/>
          <w:kern w:val="0"/>
          <w:sz w:val="24"/>
          <w:szCs w:val="24"/>
        </w:rPr>
        <w:t>号综合考察船建造、深海探测与研究平台的配置和研发，对深海极端环境与生命过程开展综合探测与研究。</w:t>
      </w:r>
      <w:r w:rsidRPr="00790D83">
        <w:rPr>
          <w:rFonts w:ascii="Helvetica" w:eastAsia="宋体" w:hAnsi="Helvetica" w:cs="Helvetica"/>
          <w:color w:val="222222"/>
          <w:spacing w:val="8"/>
          <w:kern w:val="0"/>
          <w:szCs w:val="21"/>
        </w:rPr>
        <w:t>于志刚，</w:t>
      </w:r>
      <w:r w:rsidRPr="00790D83">
        <w:rPr>
          <w:rFonts w:ascii="Arial" w:eastAsia="宋体" w:hAnsi="Arial" w:cs="Arial"/>
          <w:color w:val="222222"/>
          <w:spacing w:val="8"/>
          <w:kern w:val="0"/>
          <w:szCs w:val="21"/>
        </w:rPr>
        <w:t>中国海洋学会副理事长，中国海洋大学原党委副书记、校长。</w:t>
      </w:r>
      <w:r w:rsidRPr="00790D83">
        <w:rPr>
          <w:rFonts w:ascii="微软雅黑" w:eastAsia="微软雅黑" w:hAnsi="微软雅黑" w:cs="Arial" w:hint="eastAsia"/>
          <w:color w:val="333333"/>
          <w:kern w:val="0"/>
          <w:szCs w:val="21"/>
        </w:rPr>
        <w:t>长期从事海洋化学和海洋环境科学的研究与教学工作，主要研究方向为海洋生物地球化学，侧重于河流、水库、河口和近海生源要素的生物地球化学过程、水生生态系</w:t>
      </w:r>
      <w:r w:rsidRPr="00790D83">
        <w:rPr>
          <w:rFonts w:ascii="微软雅黑" w:eastAsia="微软雅黑" w:hAnsi="微软雅黑" w:cs="Arial" w:hint="eastAsia"/>
          <w:color w:val="333333"/>
          <w:kern w:val="0"/>
          <w:szCs w:val="21"/>
        </w:rPr>
        <w:lastRenderedPageBreak/>
        <w:t>统中化学生物标志物分析与应用、大河及其河口的放射性同位素行为及示踪研究、海洋有害藻、水母分子鉴定和生态学等方面。</w:t>
      </w:r>
    </w:p>
    <w:sectPr w:rsidR="007A6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3F"/>
    <w:rsid w:val="00347F72"/>
    <w:rsid w:val="00790D83"/>
    <w:rsid w:val="007A65FF"/>
    <w:rsid w:val="00D7633F"/>
    <w:rsid w:val="00D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7896"/>
  <w15:chartTrackingRefBased/>
  <w15:docId w15:val="{091A239A-87F2-4987-9F5C-732164A0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D83"/>
    <w:rPr>
      <w:b/>
      <w:bCs/>
    </w:rPr>
  </w:style>
  <w:style w:type="paragraph" w:styleId="a4">
    <w:name w:val="Normal (Web)"/>
    <w:basedOn w:val="a"/>
    <w:uiPriority w:val="99"/>
    <w:semiHidden/>
    <w:unhideWhenUsed/>
    <w:rsid w:val="00790D83"/>
    <w:pPr>
      <w:widowControl/>
      <w:spacing w:before="100" w:beforeAutospacing="1" w:after="100" w:afterAutospacing="1"/>
      <w:jc w:val="left"/>
    </w:pPr>
    <w:rPr>
      <w:rFonts w:ascii="宋体" w:eastAsia="宋体" w:hAnsi="宋体" w:cs="宋体"/>
      <w:kern w:val="0"/>
      <w:sz w:val="24"/>
      <w:szCs w:val="24"/>
    </w:rPr>
  </w:style>
  <w:style w:type="character" w:customStyle="1" w:styleId="wxsearchkeywordwrap">
    <w:name w:val="wx_search_keyword_wrap"/>
    <w:basedOn w:val="a0"/>
    <w:rsid w:val="00790D83"/>
  </w:style>
  <w:style w:type="character" w:styleId="a5">
    <w:name w:val="Emphasis"/>
    <w:basedOn w:val="a0"/>
    <w:uiPriority w:val="20"/>
    <w:qFormat/>
    <w:rsid w:val="00790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22294">
      <w:bodyDiv w:val="1"/>
      <w:marLeft w:val="0"/>
      <w:marRight w:val="0"/>
      <w:marTop w:val="0"/>
      <w:marBottom w:val="0"/>
      <w:divBdr>
        <w:top w:val="none" w:sz="0" w:space="0" w:color="auto"/>
        <w:left w:val="none" w:sz="0" w:space="0" w:color="auto"/>
        <w:bottom w:val="none" w:sz="0" w:space="0" w:color="auto"/>
        <w:right w:val="none" w:sz="0" w:space="0" w:color="auto"/>
      </w:divBdr>
    </w:div>
    <w:div w:id="18911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2024-03-18T01:52:00Z</dcterms:created>
  <dcterms:modified xsi:type="dcterms:W3CDTF">2024-03-18T01:55:00Z</dcterms:modified>
</cp:coreProperties>
</file>