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Times New Roman" w:hAnsi="Times New Roman" w:cs="Times New Roman" w:eastAsiaTheme="majorEastAsia"/>
          <w:b/>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b/>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b/>
          <w:color w:val="000000" w:themeColor="text1"/>
          <w:sz w:val="44"/>
          <w:szCs w:val="44"/>
          <w14:textFill>
            <w14:solidFill>
              <w14:schemeClr w14:val="tx1"/>
            </w14:solidFill>
          </w14:textFill>
        </w:rPr>
      </w:pPr>
      <w:r>
        <w:rPr>
          <w:rFonts w:ascii="Times New Roman" w:hAnsi="Times New Roman" w:cs="Times New Roman" w:eastAsiaTheme="majorEastAsia"/>
          <w:b/>
          <w:color w:val="000000" w:themeColor="text1"/>
          <w:sz w:val="44"/>
          <w:szCs w:val="44"/>
          <w14:textFill>
            <w14:solidFill>
              <w14:schemeClr w14:val="tx1"/>
            </w14:solidFill>
          </w14:textFill>
        </w:rPr>
        <w:t>山东省邹城市国家森林城市指标完成情况</w:t>
      </w:r>
    </w:p>
    <w:p>
      <w:pPr>
        <w:spacing w:line="300" w:lineRule="auto"/>
        <w:jc w:val="center"/>
        <w:rPr>
          <w:rFonts w:ascii="Times New Roman" w:hAnsi="Times New Roman" w:cs="Times New Roman" w:eastAsiaTheme="majorEastAsia"/>
          <w:b/>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b/>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b/>
          <w:color w:val="000000" w:themeColor="text1"/>
          <w:sz w:val="44"/>
          <w:szCs w:val="44"/>
          <w14:textFill>
            <w14:solidFill>
              <w14:schemeClr w14:val="tx1"/>
            </w14:solidFill>
          </w14:textFill>
        </w:rPr>
      </w:pPr>
      <w:r>
        <w:rPr>
          <w:rFonts w:ascii="Times New Roman" w:hAnsi="Times New Roman" w:cs="Times New Roman" w:eastAsiaTheme="majorEastAsia"/>
          <w:b/>
          <w:color w:val="000000" w:themeColor="text1"/>
          <w:sz w:val="44"/>
          <w:szCs w:val="44"/>
          <w14:textFill>
            <w14:solidFill>
              <w14:schemeClr w14:val="tx1"/>
            </w14:solidFill>
          </w14:textFill>
        </w:rPr>
        <w:t>评估报告</w:t>
      </w: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jc w:val="center"/>
        <w:rPr>
          <w:rFonts w:ascii="Times New Roman" w:hAnsi="Times New Roman" w:cs="Times New Roman" w:eastAsiaTheme="majorEastAsia"/>
          <w:color w:val="000000" w:themeColor="text1"/>
          <w:sz w:val="52"/>
          <w:szCs w:val="52"/>
          <w14:textFill>
            <w14:solidFill>
              <w14:schemeClr w14:val="tx1"/>
            </w14:solidFill>
          </w14:textFill>
        </w:rPr>
      </w:pPr>
    </w:p>
    <w:p>
      <w:pPr>
        <w:spacing w:line="300" w:lineRule="auto"/>
        <w:rPr>
          <w:rFonts w:ascii="Times New Roman" w:hAnsi="Times New Roman" w:cs="Times New Roman" w:eastAsiaTheme="majorEastAsia"/>
          <w:b/>
          <w:color w:val="000000" w:themeColor="text1"/>
          <w:sz w:val="28"/>
          <w:szCs w:val="28"/>
          <w14:textFill>
            <w14:solidFill>
              <w14:schemeClr w14:val="tx1"/>
            </w14:solidFill>
          </w14:textFill>
        </w:rPr>
      </w:pPr>
    </w:p>
    <w:p>
      <w:pPr>
        <w:spacing w:line="300" w:lineRule="auto"/>
        <w:jc w:val="center"/>
        <w:rPr>
          <w:rFonts w:ascii="Times New Roman" w:hAnsi="Times New Roman" w:cs="Times New Roman" w:eastAsiaTheme="majorEastAsia"/>
          <w:b/>
          <w:color w:val="000000" w:themeColor="text1"/>
          <w:sz w:val="28"/>
          <w:szCs w:val="28"/>
          <w14:textFill>
            <w14:solidFill>
              <w14:schemeClr w14:val="tx1"/>
            </w14:solidFill>
          </w14:textFill>
        </w:rPr>
      </w:pPr>
    </w:p>
    <w:p>
      <w:pPr>
        <w:spacing w:line="300" w:lineRule="auto"/>
        <w:jc w:val="center"/>
        <w:rPr>
          <w:rFonts w:ascii="Times New Roman" w:hAnsi="Times New Roman" w:cs="Times New Roman" w:eastAsiaTheme="majorEastAsia"/>
          <w:b/>
          <w:color w:val="000000" w:themeColor="text1"/>
          <w:sz w:val="28"/>
          <w:szCs w:val="28"/>
          <w14:textFill>
            <w14:solidFill>
              <w14:schemeClr w14:val="tx1"/>
            </w14:solidFill>
          </w14:textFill>
        </w:rPr>
      </w:pPr>
      <w:r>
        <w:rPr>
          <w:rFonts w:ascii="Times New Roman" w:hAnsi="Times New Roman" w:cs="Times New Roman" w:eastAsiaTheme="majorEastAsia"/>
          <w:b/>
          <w:color w:val="000000" w:themeColor="text1"/>
          <w:sz w:val="28"/>
          <w:szCs w:val="28"/>
          <w14:textFill>
            <w14:solidFill>
              <w14:schemeClr w14:val="tx1"/>
            </w14:solidFill>
          </w14:textFill>
        </w:rPr>
        <w:t>邹城市人民政府</w:t>
      </w:r>
    </w:p>
    <w:p>
      <w:pPr>
        <w:pStyle w:val="17"/>
        <w:spacing w:line="300" w:lineRule="auto"/>
        <w:jc w:val="both"/>
        <w:rPr>
          <w:rFonts w:ascii="Times New Roman" w:hAnsi="Times New Roman" w:cs="Times New Roman" w:eastAsiaTheme="minorEastAsia"/>
          <w:color w:val="000000" w:themeColor="text1"/>
          <w:sz w:val="44"/>
          <w:szCs w:val="44"/>
          <w14:textFill>
            <w14:solidFill>
              <w14:schemeClr w14:val="tx1"/>
            </w14:solidFill>
          </w14:textFill>
        </w:rPr>
      </w:pPr>
    </w:p>
    <w:p>
      <w:pPr>
        <w:pStyle w:val="17"/>
        <w:spacing w:line="300" w:lineRule="auto"/>
        <w:jc w:val="center"/>
        <w:rPr>
          <w:rFonts w:ascii="Times New Roman" w:hAnsi="Times New Roman" w:eastAsia="华文宋体" w:cs="Times New Roman"/>
          <w:b/>
          <w:bCs/>
          <w:color w:val="000000" w:themeColor="text1"/>
          <w:sz w:val="36"/>
          <w:szCs w:val="36"/>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pStyle w:val="11"/>
        <w:tabs>
          <w:tab w:val="right" w:leader="dot" w:pos="8296"/>
        </w:tabs>
        <w:jc w:val="center"/>
        <w:rPr>
          <w:rFonts w:ascii="Times New Roman" w:hAnsi="Times New Roman" w:eastAsia="华文宋体" w:cs="Times New Roman"/>
          <w:b/>
          <w:bCs/>
          <w:color w:val="000000" w:themeColor="text1"/>
          <w:sz w:val="40"/>
          <w:szCs w:val="36"/>
          <w14:textFill>
            <w14:solidFill>
              <w14:schemeClr w14:val="tx1"/>
            </w14:solidFill>
          </w14:textFill>
        </w:rPr>
      </w:pPr>
      <w:r>
        <w:rPr>
          <w:rFonts w:hint="eastAsia" w:ascii="Times New Roman" w:hAnsi="Times New Roman" w:eastAsia="华文宋体" w:cs="Times New Roman"/>
          <w:b/>
          <w:bCs/>
          <w:color w:val="000000" w:themeColor="text1"/>
          <w:sz w:val="40"/>
          <w:szCs w:val="36"/>
          <w14:textFill>
            <w14:solidFill>
              <w14:schemeClr w14:val="tx1"/>
            </w14:solidFill>
          </w14:textFill>
        </w:rPr>
        <w:t>目录</w:t>
      </w:r>
    </w:p>
    <w:p/>
    <w:p>
      <w:pPr>
        <w:pStyle w:val="11"/>
        <w:tabs>
          <w:tab w:val="right" w:leader="dot" w:pos="8296"/>
        </w:tabs>
        <w:spacing w:line="360" w:lineRule="auto"/>
        <w:rPr>
          <w:rFonts w:hint="eastAsia" w:asciiTheme="minorEastAsia" w:hAnsiTheme="minorEastAsia" w:eastAsiaTheme="minorEastAsia" w:cstheme="minorEastAsia"/>
          <w:b w:val="0"/>
          <w:bCs w:val="0"/>
          <w:sz w:val="24"/>
          <w:szCs w:val="24"/>
        </w:rPr>
      </w:pPr>
      <w:r>
        <w:rPr>
          <w:rFonts w:ascii="Times New Roman" w:hAnsi="Times New Roman" w:eastAsia="华文宋体" w:cs="Times New Roman"/>
          <w:b/>
          <w:bCs/>
          <w:color w:val="000000" w:themeColor="text1"/>
          <w:sz w:val="44"/>
          <w:szCs w:val="36"/>
          <w14:textFill>
            <w14:solidFill>
              <w14:schemeClr w14:val="tx1"/>
            </w14:solidFill>
          </w14:textFill>
        </w:rPr>
        <w:fldChar w:fldCharType="begin"/>
      </w:r>
      <w:r>
        <w:rPr>
          <w:rFonts w:ascii="Times New Roman" w:hAnsi="Times New Roman" w:eastAsia="华文宋体" w:cs="Times New Roman"/>
          <w:b/>
          <w:bCs/>
          <w:color w:val="000000" w:themeColor="text1"/>
          <w:sz w:val="44"/>
          <w:szCs w:val="36"/>
          <w14:textFill>
            <w14:solidFill>
              <w14:schemeClr w14:val="tx1"/>
            </w14:solidFill>
          </w14:textFill>
        </w:rPr>
        <w:instrText xml:space="preserve"> TOC \o "1-3" \h \z \u </w:instrText>
      </w:r>
      <w:r>
        <w:rPr>
          <w:rFonts w:ascii="Times New Roman" w:hAnsi="Times New Roman" w:eastAsia="华文宋体" w:cs="Times New Roman"/>
          <w:b/>
          <w:bCs/>
          <w:color w:val="000000" w:themeColor="text1"/>
          <w:sz w:val="44"/>
          <w:szCs w:val="36"/>
          <w14:textFill>
            <w14:solidFill>
              <w14:schemeClr w14:val="tx1"/>
            </w14:solidFill>
          </w14:textFill>
        </w:rPr>
        <w:fldChar w:fldCharType="separate"/>
      </w:r>
      <w:r>
        <w:rPr>
          <w:rFonts w:hint="eastAsia" w:asciiTheme="minorEastAsia" w:hAnsiTheme="minorEastAsia" w:eastAsiaTheme="minorEastAsia" w:cstheme="minorEastAsia"/>
          <w:b w:val="0"/>
          <w:bCs w:val="0"/>
          <w:sz w:val="24"/>
          <w:szCs w:val="24"/>
        </w:rPr>
        <w:fldChar w:fldCharType="begin"/>
      </w:r>
      <w:r>
        <w:rPr>
          <w:rFonts w:hint="eastAsia" w:asciiTheme="minorEastAsia" w:hAnsiTheme="minorEastAsia" w:eastAsiaTheme="minorEastAsia" w:cstheme="minorEastAsia"/>
          <w:b w:val="0"/>
          <w:bCs w:val="0"/>
          <w:sz w:val="24"/>
          <w:szCs w:val="24"/>
        </w:rPr>
        <w:instrText xml:space="preserve"> HYPERLINK \l "_Toc519373533" </w:instrText>
      </w:r>
      <w:r>
        <w:rPr>
          <w:rFonts w:hint="eastAsia" w:asciiTheme="minorEastAsia" w:hAnsiTheme="minorEastAsia" w:eastAsiaTheme="minorEastAsia" w:cstheme="minorEastAsia"/>
          <w:b w:val="0"/>
          <w:bCs w:val="0"/>
          <w:sz w:val="24"/>
          <w:szCs w:val="24"/>
        </w:rPr>
        <w:fldChar w:fldCharType="separate"/>
      </w:r>
      <w:r>
        <w:rPr>
          <w:rStyle w:val="14"/>
          <w:rFonts w:hint="eastAsia" w:asciiTheme="minorEastAsia" w:hAnsiTheme="minorEastAsia" w:eastAsiaTheme="minorEastAsia" w:cstheme="minorEastAsia"/>
          <w:b w:val="0"/>
          <w:bCs w:val="0"/>
          <w:sz w:val="24"/>
          <w:szCs w:val="24"/>
        </w:rPr>
        <w:t>前言</w:t>
      </w:r>
      <w:r>
        <w:rPr>
          <w:rFonts w:hint="eastAsia" w:asciiTheme="minorEastAsia" w:hAnsiTheme="minorEastAsia" w:eastAsiaTheme="minorEastAsia" w:cstheme="minorEastAsia"/>
          <w:b w:val="0"/>
          <w:bCs w:val="0"/>
          <w:sz w:val="24"/>
          <w:szCs w:val="24"/>
        </w:rPr>
        <w:tab/>
      </w:r>
      <w:r>
        <w:rPr>
          <w:rFonts w:hint="eastAsia" w:asciiTheme="minorEastAsia" w:hAnsiTheme="minorEastAsia" w:eastAsiaTheme="minorEastAsia" w:cstheme="minorEastAsia"/>
          <w:b w:val="0"/>
          <w:bCs w:val="0"/>
          <w:sz w:val="24"/>
          <w:szCs w:val="24"/>
        </w:rPr>
        <w:fldChar w:fldCharType="begin"/>
      </w:r>
      <w:r>
        <w:rPr>
          <w:rFonts w:hint="eastAsia" w:asciiTheme="minorEastAsia" w:hAnsiTheme="minorEastAsia" w:eastAsiaTheme="minorEastAsia" w:cstheme="minorEastAsia"/>
          <w:b w:val="0"/>
          <w:bCs w:val="0"/>
          <w:sz w:val="24"/>
          <w:szCs w:val="24"/>
        </w:rPr>
        <w:instrText xml:space="preserve"> PAGEREF _Toc519373533 \h </w:instrText>
      </w:r>
      <w:r>
        <w:rPr>
          <w:rFonts w:hint="eastAsia" w:asciiTheme="minorEastAsia" w:hAnsiTheme="minorEastAsia" w:eastAsiaTheme="minorEastAsia" w:cstheme="minorEastAsia"/>
          <w:b w:val="0"/>
          <w:bCs w:val="0"/>
          <w:sz w:val="24"/>
          <w:szCs w:val="24"/>
        </w:rPr>
        <w:fldChar w:fldCharType="separate"/>
      </w:r>
      <w:r>
        <w:rPr>
          <w:rFonts w:hint="eastAsia" w:asciiTheme="minorEastAsia" w:hAnsiTheme="minorEastAsia" w:eastAsiaTheme="minorEastAsia" w:cstheme="minorEastAsia"/>
          <w:b w:val="0"/>
          <w:bCs w:val="0"/>
          <w:sz w:val="24"/>
          <w:szCs w:val="24"/>
        </w:rPr>
        <w:t>1</w:t>
      </w:r>
      <w:r>
        <w:rPr>
          <w:rFonts w:hint="eastAsia" w:asciiTheme="minorEastAsia" w:hAnsiTheme="minorEastAsia" w:eastAsiaTheme="minorEastAsia" w:cstheme="minorEastAsia"/>
          <w:b w:val="0"/>
          <w:bCs w:val="0"/>
          <w:sz w:val="24"/>
          <w:szCs w:val="24"/>
        </w:rPr>
        <w:fldChar w:fldCharType="end"/>
      </w:r>
      <w:r>
        <w:rPr>
          <w:rFonts w:hint="eastAsia" w:asciiTheme="minorEastAsia" w:hAnsiTheme="minorEastAsia" w:eastAsiaTheme="minorEastAsia" w:cstheme="minorEastAsia"/>
          <w:b w:val="0"/>
          <w:bCs w:val="0"/>
          <w:sz w:val="24"/>
          <w:szCs w:val="24"/>
        </w:rPr>
        <w:fldChar w:fldCharType="end"/>
      </w:r>
    </w:p>
    <w:p>
      <w:pPr>
        <w:pStyle w:val="11"/>
        <w:tabs>
          <w:tab w:val="left" w:pos="630"/>
          <w:tab w:val="right" w:leader="dot" w:pos="8296"/>
        </w:tabs>
        <w:spacing w:line="360" w:lineRule="auto"/>
        <w:rPr>
          <w:b w:val="0"/>
          <w:bCs w:val="0"/>
          <w:sz w:val="24"/>
        </w:rPr>
      </w:pPr>
      <w:r>
        <w:rPr>
          <w:b w:val="0"/>
          <w:bCs w:val="0"/>
        </w:rPr>
        <w:fldChar w:fldCharType="begin"/>
      </w:r>
      <w:r>
        <w:rPr>
          <w:b w:val="0"/>
          <w:bCs w:val="0"/>
        </w:rPr>
        <w:instrText xml:space="preserve"> HYPERLINK \l "_Toc519373534" </w:instrText>
      </w:r>
      <w:r>
        <w:rPr>
          <w:b w:val="0"/>
          <w:bCs w:val="0"/>
        </w:rPr>
        <w:fldChar w:fldCharType="separate"/>
      </w:r>
      <w:r>
        <w:rPr>
          <w:rStyle w:val="14"/>
          <w:rFonts w:hint="eastAsia" w:cs="Times New Roman"/>
          <w:b w:val="0"/>
          <w:bCs w:val="0"/>
          <w:sz w:val="24"/>
        </w:rPr>
        <w:t>一</w:t>
      </w:r>
      <w:r>
        <w:rPr>
          <w:rFonts w:hint="eastAsia"/>
          <w:b w:val="0"/>
          <w:bCs w:val="0"/>
          <w:sz w:val="24"/>
        </w:rPr>
        <w:t xml:space="preserve"> </w:t>
      </w:r>
      <w:r>
        <w:rPr>
          <w:rStyle w:val="14"/>
          <w:rFonts w:hint="eastAsia" w:cs="Times New Roman"/>
          <w:b w:val="0"/>
          <w:bCs w:val="0"/>
          <w:sz w:val="24"/>
        </w:rPr>
        <w:t>自查方法和步骤</w:t>
      </w:r>
      <w:r>
        <w:rPr>
          <w:b w:val="0"/>
          <w:bCs w:val="0"/>
          <w:sz w:val="24"/>
        </w:rPr>
        <w:tab/>
      </w:r>
      <w:r>
        <w:rPr>
          <w:b w:val="0"/>
          <w:bCs w:val="0"/>
          <w:sz w:val="24"/>
        </w:rPr>
        <w:fldChar w:fldCharType="begin"/>
      </w:r>
      <w:r>
        <w:rPr>
          <w:b w:val="0"/>
          <w:bCs w:val="0"/>
          <w:sz w:val="24"/>
        </w:rPr>
        <w:instrText xml:space="preserve"> PAGEREF _Toc519373534 \h </w:instrText>
      </w:r>
      <w:r>
        <w:rPr>
          <w:b w:val="0"/>
          <w:bCs w:val="0"/>
          <w:sz w:val="24"/>
        </w:rPr>
        <w:fldChar w:fldCharType="separate"/>
      </w:r>
      <w:r>
        <w:rPr>
          <w:b w:val="0"/>
          <w:bCs w:val="0"/>
          <w:sz w:val="24"/>
        </w:rPr>
        <w:t>3</w:t>
      </w:r>
      <w:r>
        <w:rPr>
          <w:b w:val="0"/>
          <w:bCs w:val="0"/>
          <w:sz w:val="24"/>
        </w:rPr>
        <w:fldChar w:fldCharType="end"/>
      </w:r>
      <w:r>
        <w:rPr>
          <w:b w:val="0"/>
          <w:bCs w:val="0"/>
          <w:sz w:val="24"/>
        </w:rPr>
        <w:fldChar w:fldCharType="end"/>
      </w:r>
    </w:p>
    <w:p>
      <w:pPr>
        <w:pStyle w:val="11"/>
        <w:tabs>
          <w:tab w:val="left" w:pos="315"/>
          <w:tab w:val="right" w:leader="dot" w:pos="8296"/>
        </w:tabs>
        <w:spacing w:line="360" w:lineRule="auto"/>
        <w:rPr>
          <w:sz w:val="24"/>
        </w:rPr>
      </w:pPr>
      <w:r>
        <w:fldChar w:fldCharType="begin"/>
      </w:r>
      <w:r>
        <w:instrText xml:space="preserve"> HYPERLINK \l "_Toc519373535" </w:instrText>
      </w:r>
      <w:r>
        <w:fldChar w:fldCharType="separate"/>
      </w:r>
      <w:r>
        <w:rPr>
          <w:rStyle w:val="14"/>
          <w:rFonts w:hint="eastAsia" w:cs="Times New Roman"/>
          <w:sz w:val="24"/>
        </w:rPr>
        <w:t>二</w:t>
      </w:r>
      <w:r>
        <w:rPr>
          <w:sz w:val="24"/>
        </w:rPr>
        <w:tab/>
      </w:r>
      <w:r>
        <w:rPr>
          <w:rStyle w:val="14"/>
          <w:rFonts w:hint="eastAsia" w:cs="Times New Roman"/>
          <w:sz w:val="24"/>
        </w:rPr>
        <w:t>自查结果</w:t>
      </w:r>
      <w:r>
        <w:rPr>
          <w:sz w:val="24"/>
        </w:rPr>
        <w:tab/>
      </w:r>
      <w:r>
        <w:rPr>
          <w:sz w:val="24"/>
        </w:rPr>
        <w:fldChar w:fldCharType="begin"/>
      </w:r>
      <w:r>
        <w:rPr>
          <w:sz w:val="24"/>
        </w:rPr>
        <w:instrText xml:space="preserve"> PAGEREF _Toc519373535 \h </w:instrText>
      </w:r>
      <w:r>
        <w:rPr>
          <w:sz w:val="24"/>
        </w:rPr>
        <w:fldChar w:fldCharType="separate"/>
      </w:r>
      <w:r>
        <w:rPr>
          <w:sz w:val="24"/>
        </w:rPr>
        <w:t>4</w:t>
      </w:r>
      <w:r>
        <w:rPr>
          <w:sz w:val="24"/>
        </w:rPr>
        <w:fldChar w:fldCharType="end"/>
      </w:r>
      <w:r>
        <w:rPr>
          <w:sz w:val="24"/>
        </w:rPr>
        <w:fldChar w:fldCharType="end"/>
      </w:r>
    </w:p>
    <w:p>
      <w:pPr>
        <w:pStyle w:val="12"/>
        <w:tabs>
          <w:tab w:val="right" w:leader="dot" w:pos="8296"/>
        </w:tabs>
        <w:spacing w:line="360" w:lineRule="auto"/>
        <w:rPr>
          <w:sz w:val="24"/>
        </w:rPr>
      </w:pPr>
      <w:r>
        <w:fldChar w:fldCharType="begin"/>
      </w:r>
      <w:r>
        <w:instrText xml:space="preserve"> HYPERLINK \l "_Toc519373536" </w:instrText>
      </w:r>
      <w:r>
        <w:fldChar w:fldCharType="separate"/>
      </w:r>
      <w:r>
        <w:rPr>
          <w:rStyle w:val="14"/>
          <w:rFonts w:cs="Times New Roman"/>
          <w:sz w:val="24"/>
        </w:rPr>
        <w:t xml:space="preserve">1 </w:t>
      </w:r>
      <w:r>
        <w:rPr>
          <w:rStyle w:val="14"/>
          <w:rFonts w:hint="eastAsia" w:cs="Times New Roman"/>
          <w:sz w:val="24"/>
        </w:rPr>
        <w:t>城市森林网络</w:t>
      </w:r>
      <w:r>
        <w:rPr>
          <w:sz w:val="24"/>
        </w:rPr>
        <w:tab/>
      </w:r>
      <w:r>
        <w:rPr>
          <w:sz w:val="24"/>
        </w:rPr>
        <w:fldChar w:fldCharType="begin"/>
      </w:r>
      <w:r>
        <w:rPr>
          <w:sz w:val="24"/>
        </w:rPr>
        <w:instrText xml:space="preserve"> PAGEREF _Toc519373536 \h </w:instrText>
      </w:r>
      <w:r>
        <w:rPr>
          <w:sz w:val="24"/>
        </w:rPr>
        <w:fldChar w:fldCharType="separate"/>
      </w:r>
      <w:r>
        <w:rPr>
          <w:sz w:val="24"/>
        </w:rPr>
        <w:t>22</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"_Toc519373537" </w:instrText>
      </w:r>
      <w:r>
        <w:fldChar w:fldCharType="separate"/>
      </w:r>
      <w:r>
        <w:rPr>
          <w:rStyle w:val="14"/>
          <w:rFonts w:cs="Times New Roman"/>
          <w:sz w:val="24"/>
        </w:rPr>
        <w:t xml:space="preserve">1.1 </w:t>
      </w:r>
      <w:r>
        <w:rPr>
          <w:rStyle w:val="14"/>
          <w:rFonts w:hint="eastAsia" w:cs="Times New Roman"/>
          <w:sz w:val="24"/>
        </w:rPr>
        <w:t>市域森林覆盖率</w:t>
      </w:r>
      <w:r>
        <w:rPr>
          <w:sz w:val="24"/>
        </w:rPr>
        <w:tab/>
      </w:r>
      <w:r>
        <w:rPr>
          <w:sz w:val="24"/>
        </w:rPr>
        <w:fldChar w:fldCharType="begin"/>
      </w:r>
      <w:r>
        <w:rPr>
          <w:sz w:val="24"/>
        </w:rPr>
        <w:instrText xml:space="preserve"> PAGEREF _Toc519373537 \h </w:instrText>
      </w:r>
      <w:r>
        <w:rPr>
          <w:sz w:val="24"/>
        </w:rPr>
        <w:fldChar w:fldCharType="separate"/>
      </w:r>
      <w:r>
        <w:rPr>
          <w:sz w:val="24"/>
        </w:rPr>
        <w:t>22</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"_Toc519373538" </w:instrText>
      </w:r>
      <w:r>
        <w:fldChar w:fldCharType="separate"/>
      </w:r>
      <w:r>
        <w:rPr>
          <w:rStyle w:val="14"/>
          <w:rFonts w:cs="Times New Roman"/>
          <w:sz w:val="24"/>
        </w:rPr>
        <w:t xml:space="preserve">1.2 </w:t>
      </w:r>
      <w:r>
        <w:rPr>
          <w:rStyle w:val="14"/>
          <w:rFonts w:hint="eastAsia" w:cs="Times New Roman"/>
          <w:sz w:val="24"/>
        </w:rPr>
        <w:t>新造林面积</w:t>
      </w:r>
      <w:r>
        <w:rPr>
          <w:sz w:val="24"/>
        </w:rPr>
        <w:tab/>
      </w:r>
      <w:r>
        <w:rPr>
          <w:sz w:val="24"/>
        </w:rPr>
        <w:fldChar w:fldCharType="begin"/>
      </w:r>
      <w:r>
        <w:rPr>
          <w:sz w:val="24"/>
        </w:rPr>
        <w:instrText xml:space="preserve"> PAGEREF _Toc519373538 \h </w:instrText>
      </w:r>
      <w:r>
        <w:rPr>
          <w:sz w:val="24"/>
        </w:rPr>
        <w:fldChar w:fldCharType="separate"/>
      </w:r>
      <w:r>
        <w:rPr>
          <w:sz w:val="24"/>
        </w:rPr>
        <w:t>24</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"_Toc519373539" </w:instrText>
      </w:r>
      <w:r>
        <w:fldChar w:fldCharType="separate"/>
      </w:r>
      <w:r>
        <w:rPr>
          <w:rStyle w:val="14"/>
          <w:sz w:val="24"/>
        </w:rPr>
        <w:t xml:space="preserve">1.3 </w:t>
      </w:r>
      <w:r>
        <w:rPr>
          <w:rStyle w:val="14"/>
          <w:rFonts w:hint="eastAsia"/>
          <w:sz w:val="24"/>
        </w:rPr>
        <w:t>城区绿化覆盖率</w:t>
      </w:r>
      <w:r>
        <w:rPr>
          <w:sz w:val="24"/>
        </w:rPr>
        <w:tab/>
      </w:r>
      <w:r>
        <w:rPr>
          <w:sz w:val="24"/>
        </w:rPr>
        <w:fldChar w:fldCharType="begin"/>
      </w:r>
      <w:r>
        <w:rPr>
          <w:sz w:val="24"/>
        </w:rPr>
        <w:instrText xml:space="preserve"> PAGEREF _Toc519373539 \h </w:instrText>
      </w:r>
      <w:r>
        <w:rPr>
          <w:sz w:val="24"/>
        </w:rPr>
        <w:fldChar w:fldCharType="separate"/>
      </w:r>
      <w:r>
        <w:rPr>
          <w:sz w:val="24"/>
        </w:rPr>
        <w:t>29</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"_Toc519373540" </w:instrText>
      </w:r>
      <w:r>
        <w:fldChar w:fldCharType="separate"/>
      </w:r>
      <w:r>
        <w:rPr>
          <w:rStyle w:val="14"/>
          <w:sz w:val="24"/>
        </w:rPr>
        <w:t xml:space="preserve">1.4 </w:t>
      </w:r>
      <w:r>
        <w:rPr>
          <w:rStyle w:val="14"/>
          <w:rFonts w:hint="eastAsia"/>
          <w:sz w:val="24"/>
        </w:rPr>
        <w:t>城区人均公园绿地面积</w:t>
      </w:r>
      <w:r>
        <w:rPr>
          <w:sz w:val="24"/>
        </w:rPr>
        <w:tab/>
      </w:r>
      <w:r>
        <w:rPr>
          <w:sz w:val="24"/>
        </w:rPr>
        <w:fldChar w:fldCharType="begin"/>
      </w:r>
      <w:r>
        <w:rPr>
          <w:sz w:val="24"/>
        </w:rPr>
        <w:instrText xml:space="preserve"> PAGEREF _Toc519373540 \h </w:instrText>
      </w:r>
      <w:r>
        <w:rPr>
          <w:sz w:val="24"/>
        </w:rPr>
        <w:fldChar w:fldCharType="separate"/>
      </w:r>
      <w:r>
        <w:rPr>
          <w:sz w:val="24"/>
        </w:rPr>
        <w:t>30</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"_Toc519373541" </w:instrText>
      </w:r>
      <w:r>
        <w:fldChar w:fldCharType="separate"/>
      </w:r>
      <w:r>
        <w:rPr>
          <w:rStyle w:val="14"/>
          <w:sz w:val="24"/>
        </w:rPr>
        <w:t xml:space="preserve">1.5 </w:t>
      </w:r>
      <w:r>
        <w:rPr>
          <w:rStyle w:val="14"/>
          <w:rFonts w:hint="eastAsia"/>
          <w:sz w:val="24"/>
        </w:rPr>
        <w:t>城区乔木种植比例</w:t>
      </w:r>
      <w:r>
        <w:rPr>
          <w:sz w:val="24"/>
        </w:rPr>
        <w:tab/>
      </w:r>
      <w:r>
        <w:rPr>
          <w:sz w:val="24"/>
        </w:rPr>
        <w:fldChar w:fldCharType="begin"/>
      </w:r>
      <w:r>
        <w:rPr>
          <w:sz w:val="24"/>
        </w:rPr>
        <w:instrText xml:space="preserve"> PAGEREF _Toc519373541 \h </w:instrText>
      </w:r>
      <w:r>
        <w:rPr>
          <w:sz w:val="24"/>
        </w:rPr>
        <w:fldChar w:fldCharType="separate"/>
      </w:r>
      <w:r>
        <w:rPr>
          <w:sz w:val="24"/>
        </w:rPr>
        <w:t>34</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"_Toc519373542" </w:instrText>
      </w:r>
      <w:r>
        <w:fldChar w:fldCharType="separate"/>
      </w:r>
      <w:r>
        <w:rPr>
          <w:rStyle w:val="14"/>
          <w:sz w:val="24"/>
        </w:rPr>
        <w:t xml:space="preserve">1.6 </w:t>
      </w:r>
      <w:r>
        <w:rPr>
          <w:rStyle w:val="14"/>
          <w:rFonts w:hint="eastAsia"/>
          <w:sz w:val="24"/>
        </w:rPr>
        <w:t>城区街道绿化</w:t>
      </w:r>
      <w:r>
        <w:rPr>
          <w:sz w:val="24"/>
        </w:rPr>
        <w:tab/>
      </w:r>
      <w:r>
        <w:rPr>
          <w:sz w:val="24"/>
        </w:rPr>
        <w:fldChar w:fldCharType="begin"/>
      </w:r>
      <w:r>
        <w:rPr>
          <w:sz w:val="24"/>
        </w:rPr>
        <w:instrText xml:space="preserve"> PAGEREF _Toc519373542 \h </w:instrText>
      </w:r>
      <w:r>
        <w:rPr>
          <w:sz w:val="24"/>
        </w:rPr>
        <w:fldChar w:fldCharType="separate"/>
      </w:r>
      <w:r>
        <w:rPr>
          <w:sz w:val="24"/>
        </w:rPr>
        <w:t>37</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"_Toc519373543" </w:instrText>
      </w:r>
      <w:r>
        <w:fldChar w:fldCharType="separate"/>
      </w:r>
      <w:r>
        <w:rPr>
          <w:rStyle w:val="14"/>
          <w:sz w:val="24"/>
        </w:rPr>
        <w:t xml:space="preserve">1.7 </w:t>
      </w:r>
      <w:r>
        <w:rPr>
          <w:rStyle w:val="14"/>
          <w:rFonts w:hint="eastAsia"/>
          <w:sz w:val="24"/>
        </w:rPr>
        <w:t>城区地面停车场绿化</w:t>
      </w:r>
      <w:r>
        <w:rPr>
          <w:sz w:val="24"/>
        </w:rPr>
        <w:tab/>
      </w:r>
      <w:r>
        <w:rPr>
          <w:sz w:val="24"/>
        </w:rPr>
        <w:fldChar w:fldCharType="begin"/>
      </w:r>
      <w:r>
        <w:rPr>
          <w:sz w:val="24"/>
        </w:rPr>
        <w:instrText xml:space="preserve"> PAGEREF _Toc519373543 \h </w:instrText>
      </w:r>
      <w:r>
        <w:rPr>
          <w:sz w:val="24"/>
        </w:rPr>
        <w:fldChar w:fldCharType="separate"/>
      </w:r>
      <w:r>
        <w:rPr>
          <w:sz w:val="24"/>
        </w:rPr>
        <w:t>39</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"_Toc519373544" </w:instrText>
      </w:r>
      <w:r>
        <w:fldChar w:fldCharType="separate"/>
      </w:r>
      <w:r>
        <w:rPr>
          <w:rStyle w:val="14"/>
          <w:sz w:val="24"/>
        </w:rPr>
        <w:t xml:space="preserve">1.8 </w:t>
      </w:r>
      <w:r>
        <w:rPr>
          <w:rStyle w:val="14"/>
          <w:rFonts w:hint="eastAsia"/>
          <w:sz w:val="24"/>
        </w:rPr>
        <w:t>城</w:t>
      </w:r>
      <w:r>
        <w:rPr>
          <w:rStyle w:val="14"/>
          <w:rFonts w:hint="eastAsia"/>
          <w:sz w:val="24"/>
          <w:lang w:val="en-US" w:eastAsia="zh-CN"/>
        </w:rPr>
        <w:t>市</w:t>
      </w:r>
      <w:r>
        <w:rPr>
          <w:rStyle w:val="14"/>
          <w:rFonts w:hint="eastAsia"/>
          <w:sz w:val="24"/>
        </w:rPr>
        <w:t>重要水源地绿化</w:t>
      </w:r>
      <w:r>
        <w:rPr>
          <w:sz w:val="24"/>
        </w:rPr>
        <w:tab/>
      </w:r>
      <w:r>
        <w:rPr>
          <w:sz w:val="24"/>
        </w:rPr>
        <w:fldChar w:fldCharType="begin"/>
      </w:r>
      <w:r>
        <w:rPr>
          <w:sz w:val="24"/>
        </w:rPr>
        <w:instrText xml:space="preserve"> PAGEREF _Toc519373544 \h </w:instrText>
      </w:r>
      <w:r>
        <w:rPr>
          <w:sz w:val="24"/>
        </w:rPr>
        <w:fldChar w:fldCharType="separate"/>
      </w:r>
      <w:r>
        <w:rPr>
          <w:sz w:val="24"/>
        </w:rPr>
        <w:t>41</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"_Toc519373545" </w:instrText>
      </w:r>
      <w:r>
        <w:fldChar w:fldCharType="separate"/>
      </w:r>
      <w:r>
        <w:rPr>
          <w:rStyle w:val="14"/>
          <w:sz w:val="24"/>
        </w:rPr>
        <w:t xml:space="preserve">1.9 </w:t>
      </w:r>
      <w:r>
        <w:rPr>
          <w:rStyle w:val="14"/>
          <w:rFonts w:hint="eastAsia"/>
          <w:sz w:val="24"/>
        </w:rPr>
        <w:t>休闲游憩绿地建设</w:t>
      </w:r>
      <w:r>
        <w:rPr>
          <w:sz w:val="24"/>
        </w:rPr>
        <w:tab/>
      </w:r>
      <w:r>
        <w:rPr>
          <w:sz w:val="24"/>
        </w:rPr>
        <w:fldChar w:fldCharType="begin"/>
      </w:r>
      <w:r>
        <w:rPr>
          <w:sz w:val="24"/>
        </w:rPr>
        <w:instrText xml:space="preserve"> PAGEREF _Toc519373545 \h </w:instrText>
      </w:r>
      <w:r>
        <w:rPr>
          <w:sz w:val="24"/>
        </w:rPr>
        <w:fldChar w:fldCharType="separate"/>
      </w:r>
      <w:r>
        <w:rPr>
          <w:sz w:val="24"/>
        </w:rPr>
        <w:t>43</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"_Toc519373546" </w:instrText>
      </w:r>
      <w:r>
        <w:fldChar w:fldCharType="separate"/>
      </w:r>
      <w:r>
        <w:rPr>
          <w:rStyle w:val="14"/>
          <w:sz w:val="24"/>
        </w:rPr>
        <w:t xml:space="preserve">1.10 </w:t>
      </w:r>
      <w:r>
        <w:rPr>
          <w:rStyle w:val="14"/>
          <w:rFonts w:hint="eastAsia"/>
          <w:sz w:val="24"/>
        </w:rPr>
        <w:t>村屯绿</w:t>
      </w:r>
      <w:bookmarkStart w:id="56" w:name="_GoBack"/>
      <w:bookmarkEnd w:id="56"/>
      <w:r>
        <w:rPr>
          <w:rStyle w:val="14"/>
          <w:rFonts w:hint="eastAsia"/>
          <w:sz w:val="24"/>
        </w:rPr>
        <w:t>化</w:t>
      </w:r>
      <w:r>
        <w:rPr>
          <w:sz w:val="24"/>
        </w:rPr>
        <w:tab/>
      </w:r>
      <w:r>
        <w:rPr>
          <w:sz w:val="24"/>
        </w:rPr>
        <w:fldChar w:fldCharType="begin"/>
      </w:r>
      <w:r>
        <w:rPr>
          <w:sz w:val="24"/>
        </w:rPr>
        <w:instrText xml:space="preserve"> PAGEREF _Toc519373546 \h </w:instrText>
      </w:r>
      <w:r>
        <w:rPr>
          <w:sz w:val="24"/>
        </w:rPr>
        <w:fldChar w:fldCharType="separate"/>
      </w:r>
      <w:r>
        <w:rPr>
          <w:sz w:val="24"/>
        </w:rPr>
        <w:t>49</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"_Toc519373547" </w:instrText>
      </w:r>
      <w:r>
        <w:fldChar w:fldCharType="separate"/>
      </w:r>
      <w:r>
        <w:rPr>
          <w:rStyle w:val="14"/>
          <w:sz w:val="24"/>
        </w:rPr>
        <w:t xml:space="preserve">1.11 </w:t>
      </w:r>
      <w:r>
        <w:rPr>
          <w:rStyle w:val="14"/>
          <w:rFonts w:hint="eastAsia"/>
          <w:sz w:val="24"/>
        </w:rPr>
        <w:t>森林生态廊道建设</w:t>
      </w:r>
      <w:r>
        <w:rPr>
          <w:sz w:val="24"/>
        </w:rPr>
        <w:tab/>
      </w:r>
      <w:r>
        <w:rPr>
          <w:sz w:val="24"/>
        </w:rPr>
        <w:fldChar w:fldCharType="begin"/>
      </w:r>
      <w:r>
        <w:rPr>
          <w:sz w:val="24"/>
        </w:rPr>
        <w:instrText xml:space="preserve"> PAGEREF _Toc519373547 \h </w:instrText>
      </w:r>
      <w:r>
        <w:rPr>
          <w:sz w:val="24"/>
        </w:rPr>
        <w:fldChar w:fldCharType="separate"/>
      </w:r>
      <w:r>
        <w:rPr>
          <w:sz w:val="24"/>
        </w:rPr>
        <w:t>52</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"_Toc519373548" </w:instrText>
      </w:r>
      <w:r>
        <w:fldChar w:fldCharType="separate"/>
      </w:r>
      <w:r>
        <w:rPr>
          <w:rStyle w:val="14"/>
          <w:sz w:val="24"/>
        </w:rPr>
        <w:t xml:space="preserve">1.12 </w:t>
      </w:r>
      <w:r>
        <w:rPr>
          <w:rStyle w:val="14"/>
          <w:rFonts w:hint="eastAsia"/>
          <w:sz w:val="24"/>
        </w:rPr>
        <w:t>水岸绿化</w:t>
      </w:r>
      <w:r>
        <w:rPr>
          <w:sz w:val="24"/>
        </w:rPr>
        <w:tab/>
      </w:r>
      <w:r>
        <w:rPr>
          <w:sz w:val="24"/>
        </w:rPr>
        <w:fldChar w:fldCharType="begin"/>
      </w:r>
      <w:r>
        <w:rPr>
          <w:sz w:val="24"/>
        </w:rPr>
        <w:instrText xml:space="preserve"> PAGEREF _Toc519373548 \h </w:instrText>
      </w:r>
      <w:r>
        <w:rPr>
          <w:sz w:val="24"/>
        </w:rPr>
        <w:fldChar w:fldCharType="separate"/>
      </w:r>
      <w:r>
        <w:rPr>
          <w:sz w:val="24"/>
        </w:rPr>
        <w:t>56</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"_Toc519373549" </w:instrText>
      </w:r>
      <w:r>
        <w:fldChar w:fldCharType="separate"/>
      </w:r>
      <w:r>
        <w:rPr>
          <w:rStyle w:val="14"/>
          <w:sz w:val="24"/>
        </w:rPr>
        <w:t xml:space="preserve">1.13 </w:t>
      </w:r>
      <w:r>
        <w:rPr>
          <w:rStyle w:val="14"/>
          <w:rFonts w:hint="eastAsia"/>
          <w:sz w:val="24"/>
        </w:rPr>
        <w:t>道路绿化</w:t>
      </w:r>
      <w:r>
        <w:rPr>
          <w:sz w:val="24"/>
        </w:rPr>
        <w:tab/>
      </w:r>
      <w:r>
        <w:rPr>
          <w:sz w:val="24"/>
        </w:rPr>
        <w:fldChar w:fldCharType="begin"/>
      </w:r>
      <w:r>
        <w:rPr>
          <w:sz w:val="24"/>
        </w:rPr>
        <w:instrText xml:space="preserve"> PAGEREF _Toc519373549 \h </w:instrText>
      </w:r>
      <w:r>
        <w:rPr>
          <w:sz w:val="24"/>
        </w:rPr>
        <w:fldChar w:fldCharType="separate"/>
      </w:r>
      <w:r>
        <w:rPr>
          <w:sz w:val="24"/>
        </w:rPr>
        <w:t>58</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"_Toc519373550" </w:instrText>
      </w:r>
      <w:r>
        <w:fldChar w:fldCharType="separate"/>
      </w:r>
      <w:r>
        <w:rPr>
          <w:rStyle w:val="14"/>
          <w:sz w:val="24"/>
        </w:rPr>
        <w:t xml:space="preserve">1.14 </w:t>
      </w:r>
      <w:r>
        <w:rPr>
          <w:rStyle w:val="14"/>
          <w:rFonts w:hint="eastAsia"/>
          <w:sz w:val="24"/>
        </w:rPr>
        <w:t>农田林网建设</w:t>
      </w:r>
      <w:r>
        <w:rPr>
          <w:sz w:val="24"/>
        </w:rPr>
        <w:tab/>
      </w:r>
      <w:r>
        <w:rPr>
          <w:sz w:val="24"/>
        </w:rPr>
        <w:fldChar w:fldCharType="begin"/>
      </w:r>
      <w:r>
        <w:rPr>
          <w:sz w:val="24"/>
        </w:rPr>
        <w:instrText xml:space="preserve"> PAGEREF _Toc519373550 \h </w:instrText>
      </w:r>
      <w:r>
        <w:rPr>
          <w:sz w:val="24"/>
        </w:rPr>
        <w:fldChar w:fldCharType="separate"/>
      </w:r>
      <w:r>
        <w:rPr>
          <w:sz w:val="24"/>
        </w:rPr>
        <w:t>62</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"_Toc519373551" </w:instrText>
      </w:r>
      <w:r>
        <w:fldChar w:fldCharType="separate"/>
      </w:r>
      <w:r>
        <w:rPr>
          <w:rStyle w:val="14"/>
          <w:sz w:val="24"/>
        </w:rPr>
        <w:t xml:space="preserve">1.15 </w:t>
      </w:r>
      <w:r>
        <w:rPr>
          <w:rStyle w:val="14"/>
          <w:rFonts w:hint="eastAsia"/>
          <w:sz w:val="24"/>
        </w:rPr>
        <w:t>防护隔离林带建设</w:t>
      </w:r>
      <w:r>
        <w:rPr>
          <w:sz w:val="24"/>
        </w:rPr>
        <w:tab/>
      </w:r>
      <w:r>
        <w:rPr>
          <w:sz w:val="24"/>
        </w:rPr>
        <w:fldChar w:fldCharType="begin"/>
      </w:r>
      <w:r>
        <w:rPr>
          <w:sz w:val="24"/>
        </w:rPr>
        <w:instrText xml:space="preserve"> PAGEREF _Toc519373551 \h </w:instrText>
      </w:r>
      <w:r>
        <w:rPr>
          <w:sz w:val="24"/>
        </w:rPr>
        <w:fldChar w:fldCharType="separate"/>
      </w:r>
      <w:r>
        <w:rPr>
          <w:sz w:val="24"/>
        </w:rPr>
        <w:t>65</w:t>
      </w:r>
      <w:r>
        <w:rPr>
          <w:sz w:val="24"/>
        </w:rPr>
        <w:fldChar w:fldCharType="end"/>
      </w:r>
      <w:r>
        <w:rPr>
          <w:sz w:val="24"/>
        </w:rPr>
        <w:fldChar w:fldCharType="end"/>
      </w:r>
    </w:p>
    <w:p>
      <w:pPr>
        <w:pStyle w:val="12"/>
        <w:tabs>
          <w:tab w:val="right" w:leader="dot" w:pos="8296"/>
        </w:tabs>
        <w:spacing w:line="360" w:lineRule="auto"/>
        <w:rPr>
          <w:sz w:val="24"/>
        </w:rPr>
      </w:pPr>
      <w:r>
        <w:fldChar w:fldCharType="begin"/>
      </w:r>
      <w:r>
        <w:instrText xml:space="preserve"> HYPERLINK \l "_Toc519373552" </w:instrText>
      </w:r>
      <w:r>
        <w:fldChar w:fldCharType="separate"/>
      </w:r>
      <w:r>
        <w:rPr>
          <w:rStyle w:val="14"/>
          <w:sz w:val="24"/>
        </w:rPr>
        <w:t xml:space="preserve">2 </w:t>
      </w:r>
      <w:r>
        <w:rPr>
          <w:rStyle w:val="14"/>
          <w:rFonts w:hint="eastAsia"/>
          <w:sz w:val="24"/>
        </w:rPr>
        <w:t>城市森林健康</w:t>
      </w:r>
      <w:r>
        <w:rPr>
          <w:sz w:val="24"/>
        </w:rPr>
        <w:tab/>
      </w:r>
      <w:r>
        <w:rPr>
          <w:sz w:val="24"/>
        </w:rPr>
        <w:fldChar w:fldCharType="begin"/>
      </w:r>
      <w:r>
        <w:rPr>
          <w:sz w:val="24"/>
        </w:rPr>
        <w:instrText xml:space="preserve"> PAGEREF _Toc519373552 \h </w:instrText>
      </w:r>
      <w:r>
        <w:rPr>
          <w:sz w:val="24"/>
        </w:rPr>
        <w:fldChar w:fldCharType="separate"/>
      </w:r>
      <w:r>
        <w:rPr>
          <w:sz w:val="24"/>
        </w:rPr>
        <w:t>68</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"_Toc519373553" </w:instrText>
      </w:r>
      <w:r>
        <w:fldChar w:fldCharType="separate"/>
      </w:r>
      <w:r>
        <w:rPr>
          <w:rStyle w:val="14"/>
          <w:sz w:val="24"/>
        </w:rPr>
        <w:t xml:space="preserve">2.1 </w:t>
      </w:r>
      <w:r>
        <w:rPr>
          <w:rStyle w:val="14"/>
          <w:rFonts w:hint="eastAsia"/>
          <w:sz w:val="24"/>
        </w:rPr>
        <w:t>乡土树种使用</w:t>
      </w:r>
      <w:r>
        <w:rPr>
          <w:sz w:val="24"/>
        </w:rPr>
        <w:tab/>
      </w:r>
      <w:r>
        <w:rPr>
          <w:sz w:val="24"/>
        </w:rPr>
        <w:fldChar w:fldCharType="begin"/>
      </w:r>
      <w:r>
        <w:rPr>
          <w:sz w:val="24"/>
        </w:rPr>
        <w:instrText xml:space="preserve"> PAGEREF _Toc519373553 \h </w:instrText>
      </w:r>
      <w:r>
        <w:rPr>
          <w:sz w:val="24"/>
        </w:rPr>
        <w:fldChar w:fldCharType="separate"/>
      </w:r>
      <w:r>
        <w:rPr>
          <w:sz w:val="24"/>
        </w:rPr>
        <w:t>68</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"_Toc519373554" </w:instrText>
      </w:r>
      <w:r>
        <w:fldChar w:fldCharType="separate"/>
      </w:r>
      <w:r>
        <w:rPr>
          <w:rStyle w:val="14"/>
          <w:sz w:val="24"/>
        </w:rPr>
        <w:t xml:space="preserve">2.2 </w:t>
      </w:r>
      <w:r>
        <w:rPr>
          <w:rStyle w:val="14"/>
          <w:rFonts w:hint="eastAsia"/>
          <w:sz w:val="24"/>
        </w:rPr>
        <w:t>树种丰富度</w:t>
      </w:r>
      <w:r>
        <w:rPr>
          <w:sz w:val="24"/>
        </w:rPr>
        <w:tab/>
      </w:r>
      <w:r>
        <w:rPr>
          <w:sz w:val="24"/>
        </w:rPr>
        <w:fldChar w:fldCharType="begin"/>
      </w:r>
      <w:r>
        <w:rPr>
          <w:sz w:val="24"/>
        </w:rPr>
        <w:instrText xml:space="preserve"> PAGEREF _Toc519373554 \h </w:instrText>
      </w:r>
      <w:r>
        <w:rPr>
          <w:sz w:val="24"/>
        </w:rPr>
        <w:fldChar w:fldCharType="separate"/>
      </w:r>
      <w:r>
        <w:rPr>
          <w:sz w:val="24"/>
        </w:rPr>
        <w:t>72</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"_Toc519373555" </w:instrText>
      </w:r>
      <w:r>
        <w:fldChar w:fldCharType="separate"/>
      </w:r>
      <w:r>
        <w:rPr>
          <w:rStyle w:val="14"/>
          <w:sz w:val="24"/>
        </w:rPr>
        <w:t xml:space="preserve">2.3 </w:t>
      </w:r>
      <w:r>
        <w:rPr>
          <w:rStyle w:val="14"/>
          <w:rFonts w:hint="eastAsia"/>
          <w:sz w:val="24"/>
        </w:rPr>
        <w:t>郊区森林自然度</w:t>
      </w:r>
      <w:r>
        <w:rPr>
          <w:sz w:val="24"/>
        </w:rPr>
        <w:tab/>
      </w:r>
      <w:r>
        <w:rPr>
          <w:sz w:val="24"/>
        </w:rPr>
        <w:fldChar w:fldCharType="begin"/>
      </w:r>
      <w:r>
        <w:rPr>
          <w:sz w:val="24"/>
        </w:rPr>
        <w:instrText xml:space="preserve"> PAGEREF _Toc519373555 \h </w:instrText>
      </w:r>
      <w:r>
        <w:rPr>
          <w:sz w:val="24"/>
        </w:rPr>
        <w:fldChar w:fldCharType="separate"/>
      </w:r>
      <w:r>
        <w:rPr>
          <w:sz w:val="24"/>
        </w:rPr>
        <w:t>75</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"_Toc519373556" </w:instrText>
      </w:r>
      <w:r>
        <w:fldChar w:fldCharType="separate"/>
      </w:r>
      <w:r>
        <w:rPr>
          <w:rStyle w:val="14"/>
          <w:sz w:val="24"/>
        </w:rPr>
        <w:t xml:space="preserve">2.4 </w:t>
      </w:r>
      <w:r>
        <w:rPr>
          <w:rStyle w:val="14"/>
          <w:rFonts w:hint="eastAsia"/>
          <w:sz w:val="24"/>
        </w:rPr>
        <w:t>造林苗木使用</w:t>
      </w:r>
      <w:r>
        <w:rPr>
          <w:sz w:val="24"/>
        </w:rPr>
        <w:tab/>
      </w:r>
      <w:r>
        <w:rPr>
          <w:sz w:val="24"/>
        </w:rPr>
        <w:fldChar w:fldCharType="begin"/>
      </w:r>
      <w:r>
        <w:rPr>
          <w:sz w:val="24"/>
        </w:rPr>
        <w:instrText xml:space="preserve"> PAGEREF _Toc519373556 \h </w:instrText>
      </w:r>
      <w:r>
        <w:rPr>
          <w:sz w:val="24"/>
        </w:rPr>
        <w:fldChar w:fldCharType="separate"/>
      </w:r>
      <w:r>
        <w:rPr>
          <w:sz w:val="24"/>
        </w:rPr>
        <w:t>77</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"_Toc519373557" </w:instrText>
      </w:r>
      <w:r>
        <w:fldChar w:fldCharType="separate"/>
      </w:r>
      <w:r>
        <w:rPr>
          <w:rStyle w:val="14"/>
          <w:sz w:val="24"/>
        </w:rPr>
        <w:t xml:space="preserve">2.5 </w:t>
      </w:r>
      <w:r>
        <w:rPr>
          <w:rStyle w:val="14"/>
          <w:rFonts w:hint="eastAsia"/>
          <w:sz w:val="24"/>
        </w:rPr>
        <w:t>森林保护</w:t>
      </w:r>
      <w:r>
        <w:rPr>
          <w:sz w:val="24"/>
        </w:rPr>
        <w:tab/>
      </w:r>
      <w:r>
        <w:rPr>
          <w:sz w:val="24"/>
        </w:rPr>
        <w:fldChar w:fldCharType="begin"/>
      </w:r>
      <w:r>
        <w:rPr>
          <w:sz w:val="24"/>
        </w:rPr>
        <w:instrText xml:space="preserve"> PAGEREF _Toc519373557 \h </w:instrText>
      </w:r>
      <w:r>
        <w:rPr>
          <w:sz w:val="24"/>
        </w:rPr>
        <w:fldChar w:fldCharType="separate"/>
      </w:r>
      <w:r>
        <w:rPr>
          <w:sz w:val="24"/>
        </w:rPr>
        <w:t>79</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"_Toc519373558" </w:instrText>
      </w:r>
      <w:r>
        <w:fldChar w:fldCharType="separate"/>
      </w:r>
      <w:r>
        <w:rPr>
          <w:rStyle w:val="14"/>
          <w:sz w:val="24"/>
        </w:rPr>
        <w:t xml:space="preserve">2.6 </w:t>
      </w:r>
      <w:r>
        <w:rPr>
          <w:rStyle w:val="14"/>
          <w:rFonts w:hint="eastAsia"/>
          <w:sz w:val="24"/>
        </w:rPr>
        <w:t>生物多样性保护</w:t>
      </w:r>
      <w:r>
        <w:rPr>
          <w:sz w:val="24"/>
        </w:rPr>
        <w:tab/>
      </w:r>
      <w:r>
        <w:rPr>
          <w:sz w:val="24"/>
        </w:rPr>
        <w:fldChar w:fldCharType="begin"/>
      </w:r>
      <w:r>
        <w:rPr>
          <w:sz w:val="24"/>
        </w:rPr>
        <w:instrText xml:space="preserve"> PAGEREF _Toc519373558 \h </w:instrText>
      </w:r>
      <w:r>
        <w:rPr>
          <w:sz w:val="24"/>
        </w:rPr>
        <w:fldChar w:fldCharType="separate"/>
      </w:r>
      <w:r>
        <w:rPr>
          <w:sz w:val="24"/>
        </w:rPr>
        <w:t>86</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"_Toc519373559" </w:instrText>
      </w:r>
      <w:r>
        <w:fldChar w:fldCharType="separate"/>
      </w:r>
      <w:r>
        <w:rPr>
          <w:rStyle w:val="14"/>
          <w:sz w:val="24"/>
        </w:rPr>
        <w:t xml:space="preserve">2.7 </w:t>
      </w:r>
      <w:r>
        <w:rPr>
          <w:rStyle w:val="14"/>
          <w:rFonts w:hint="eastAsia"/>
          <w:sz w:val="24"/>
        </w:rPr>
        <w:t>林地土壤保育</w:t>
      </w:r>
      <w:r>
        <w:rPr>
          <w:sz w:val="24"/>
        </w:rPr>
        <w:tab/>
      </w:r>
      <w:r>
        <w:rPr>
          <w:sz w:val="24"/>
        </w:rPr>
        <w:fldChar w:fldCharType="begin"/>
      </w:r>
      <w:r>
        <w:rPr>
          <w:sz w:val="24"/>
        </w:rPr>
        <w:instrText xml:space="preserve"> PAGEREF _Toc519373559 \h </w:instrText>
      </w:r>
      <w:r>
        <w:rPr>
          <w:sz w:val="24"/>
        </w:rPr>
        <w:fldChar w:fldCharType="separate"/>
      </w:r>
      <w:r>
        <w:rPr>
          <w:sz w:val="24"/>
        </w:rPr>
        <w:t>89</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"_Toc519373560" </w:instrText>
      </w:r>
      <w:r>
        <w:fldChar w:fldCharType="separate"/>
      </w:r>
      <w:r>
        <w:rPr>
          <w:rStyle w:val="14"/>
          <w:sz w:val="24"/>
        </w:rPr>
        <w:t xml:space="preserve">2.8 </w:t>
      </w:r>
      <w:r>
        <w:rPr>
          <w:rStyle w:val="14"/>
          <w:rFonts w:hint="eastAsia"/>
          <w:sz w:val="24"/>
        </w:rPr>
        <w:t>森林抚育与林木管理</w:t>
      </w:r>
      <w:r>
        <w:rPr>
          <w:sz w:val="24"/>
        </w:rPr>
        <w:tab/>
      </w:r>
      <w:r>
        <w:rPr>
          <w:sz w:val="24"/>
        </w:rPr>
        <w:fldChar w:fldCharType="begin"/>
      </w:r>
      <w:r>
        <w:rPr>
          <w:sz w:val="24"/>
        </w:rPr>
        <w:instrText xml:space="preserve"> PAGEREF _Toc519373560 \h </w:instrText>
      </w:r>
      <w:r>
        <w:rPr>
          <w:sz w:val="24"/>
        </w:rPr>
        <w:fldChar w:fldCharType="separate"/>
      </w:r>
      <w:r>
        <w:rPr>
          <w:sz w:val="24"/>
        </w:rPr>
        <w:t>92</w:t>
      </w:r>
      <w:r>
        <w:rPr>
          <w:sz w:val="24"/>
        </w:rPr>
        <w:fldChar w:fldCharType="end"/>
      </w:r>
      <w:r>
        <w:rPr>
          <w:sz w:val="24"/>
        </w:rPr>
        <w:fldChar w:fldCharType="end"/>
      </w:r>
    </w:p>
    <w:p>
      <w:pPr>
        <w:pStyle w:val="12"/>
        <w:tabs>
          <w:tab w:val="right" w:leader="dot" w:pos="8296"/>
        </w:tabs>
        <w:spacing w:line="360" w:lineRule="auto"/>
        <w:rPr>
          <w:sz w:val="24"/>
        </w:rPr>
      </w:pPr>
      <w:r>
        <w:fldChar w:fldCharType="begin"/>
      </w:r>
      <w:r>
        <w:instrText xml:space="preserve"> HYPERLINK \l "_Toc519373561" </w:instrText>
      </w:r>
      <w:r>
        <w:fldChar w:fldCharType="separate"/>
      </w:r>
      <w:r>
        <w:rPr>
          <w:rStyle w:val="14"/>
          <w:sz w:val="24"/>
        </w:rPr>
        <w:t xml:space="preserve">3 </w:t>
      </w:r>
      <w:r>
        <w:rPr>
          <w:rStyle w:val="14"/>
          <w:rFonts w:hint="eastAsia"/>
          <w:sz w:val="24"/>
        </w:rPr>
        <w:t>城市林业经济</w:t>
      </w:r>
      <w:r>
        <w:rPr>
          <w:sz w:val="24"/>
        </w:rPr>
        <w:tab/>
      </w:r>
      <w:r>
        <w:rPr>
          <w:sz w:val="24"/>
        </w:rPr>
        <w:fldChar w:fldCharType="begin"/>
      </w:r>
      <w:r>
        <w:rPr>
          <w:sz w:val="24"/>
        </w:rPr>
        <w:instrText xml:space="preserve"> PAGEREF _Toc519373561 \h </w:instrText>
      </w:r>
      <w:r>
        <w:rPr>
          <w:sz w:val="24"/>
        </w:rPr>
        <w:fldChar w:fldCharType="separate"/>
      </w:r>
      <w:r>
        <w:rPr>
          <w:sz w:val="24"/>
        </w:rPr>
        <w:t>95</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"_Toc519373562" </w:instrText>
      </w:r>
      <w:r>
        <w:fldChar w:fldCharType="separate"/>
      </w:r>
      <w:r>
        <w:rPr>
          <w:rStyle w:val="14"/>
          <w:sz w:val="24"/>
        </w:rPr>
        <w:t xml:space="preserve">3.1 </w:t>
      </w:r>
      <w:r>
        <w:rPr>
          <w:rStyle w:val="14"/>
          <w:rFonts w:hint="eastAsia"/>
          <w:sz w:val="24"/>
        </w:rPr>
        <w:t>生态旅游</w:t>
      </w:r>
      <w:r>
        <w:rPr>
          <w:sz w:val="24"/>
        </w:rPr>
        <w:tab/>
      </w:r>
      <w:r>
        <w:rPr>
          <w:sz w:val="24"/>
        </w:rPr>
        <w:fldChar w:fldCharType="begin"/>
      </w:r>
      <w:r>
        <w:rPr>
          <w:sz w:val="24"/>
        </w:rPr>
        <w:instrText xml:space="preserve"> PAGEREF _Toc519373562 \h </w:instrText>
      </w:r>
      <w:r>
        <w:rPr>
          <w:sz w:val="24"/>
        </w:rPr>
        <w:fldChar w:fldCharType="separate"/>
      </w:r>
      <w:r>
        <w:rPr>
          <w:sz w:val="24"/>
        </w:rPr>
        <w:t>95</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"_Toc519373563" </w:instrText>
      </w:r>
      <w:r>
        <w:fldChar w:fldCharType="separate"/>
      </w:r>
      <w:r>
        <w:rPr>
          <w:rStyle w:val="14"/>
          <w:sz w:val="24"/>
        </w:rPr>
        <w:t xml:space="preserve">3.2 </w:t>
      </w:r>
      <w:r>
        <w:rPr>
          <w:rStyle w:val="14"/>
          <w:rFonts w:hint="eastAsia"/>
          <w:sz w:val="24"/>
        </w:rPr>
        <w:t>林产基地</w:t>
      </w:r>
      <w:r>
        <w:rPr>
          <w:sz w:val="24"/>
        </w:rPr>
        <w:tab/>
      </w:r>
      <w:r>
        <w:rPr>
          <w:sz w:val="24"/>
        </w:rPr>
        <w:fldChar w:fldCharType="begin"/>
      </w:r>
      <w:r>
        <w:rPr>
          <w:sz w:val="24"/>
        </w:rPr>
        <w:instrText xml:space="preserve"> PAGEREF _Toc519373563 \h </w:instrText>
      </w:r>
      <w:r>
        <w:rPr>
          <w:sz w:val="24"/>
        </w:rPr>
        <w:fldChar w:fldCharType="separate"/>
      </w:r>
      <w:r>
        <w:rPr>
          <w:sz w:val="24"/>
        </w:rPr>
        <w:t>97</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"_Toc519373564" </w:instrText>
      </w:r>
      <w:r>
        <w:fldChar w:fldCharType="separate"/>
      </w:r>
      <w:r>
        <w:rPr>
          <w:rStyle w:val="14"/>
          <w:sz w:val="24"/>
        </w:rPr>
        <w:t xml:space="preserve">3.3 </w:t>
      </w:r>
      <w:r>
        <w:rPr>
          <w:rStyle w:val="14"/>
          <w:rFonts w:hint="eastAsia"/>
          <w:sz w:val="24"/>
        </w:rPr>
        <w:t>林木苗圃</w:t>
      </w:r>
      <w:r>
        <w:rPr>
          <w:sz w:val="24"/>
        </w:rPr>
        <w:tab/>
      </w:r>
      <w:r>
        <w:rPr>
          <w:sz w:val="24"/>
        </w:rPr>
        <w:fldChar w:fldCharType="begin"/>
      </w:r>
      <w:r>
        <w:rPr>
          <w:sz w:val="24"/>
        </w:rPr>
        <w:instrText xml:space="preserve"> PAGEREF _Toc519373564 \h </w:instrText>
      </w:r>
      <w:r>
        <w:rPr>
          <w:sz w:val="24"/>
        </w:rPr>
        <w:fldChar w:fldCharType="separate"/>
      </w:r>
      <w:r>
        <w:rPr>
          <w:sz w:val="24"/>
        </w:rPr>
        <w:t>100</w:t>
      </w:r>
      <w:r>
        <w:rPr>
          <w:sz w:val="24"/>
        </w:rPr>
        <w:fldChar w:fldCharType="end"/>
      </w:r>
      <w:r>
        <w:rPr>
          <w:sz w:val="24"/>
        </w:rPr>
        <w:fldChar w:fldCharType="end"/>
      </w:r>
    </w:p>
    <w:p>
      <w:pPr>
        <w:pStyle w:val="12"/>
        <w:tabs>
          <w:tab w:val="right" w:leader="dot" w:pos="8296"/>
        </w:tabs>
        <w:spacing w:line="360" w:lineRule="auto"/>
        <w:rPr>
          <w:sz w:val="24"/>
        </w:rPr>
      </w:pPr>
      <w:r>
        <w:fldChar w:fldCharType="begin"/>
      </w:r>
      <w:r>
        <w:instrText xml:space="preserve"> HYPERLINK \l "_Toc519373565" </w:instrText>
      </w:r>
      <w:r>
        <w:fldChar w:fldCharType="separate"/>
      </w:r>
      <w:r>
        <w:rPr>
          <w:rStyle w:val="14"/>
          <w:sz w:val="24"/>
        </w:rPr>
        <w:t xml:space="preserve">4 </w:t>
      </w:r>
      <w:r>
        <w:rPr>
          <w:rStyle w:val="14"/>
          <w:rFonts w:hint="eastAsia"/>
          <w:sz w:val="24"/>
        </w:rPr>
        <w:t>城市生态文明</w:t>
      </w:r>
      <w:r>
        <w:rPr>
          <w:sz w:val="24"/>
        </w:rPr>
        <w:tab/>
      </w:r>
      <w:r>
        <w:rPr>
          <w:sz w:val="24"/>
        </w:rPr>
        <w:fldChar w:fldCharType="begin"/>
      </w:r>
      <w:r>
        <w:rPr>
          <w:sz w:val="24"/>
        </w:rPr>
        <w:instrText xml:space="preserve"> PAGEREF _Toc519373565 \h </w:instrText>
      </w:r>
      <w:r>
        <w:rPr>
          <w:sz w:val="24"/>
        </w:rPr>
        <w:fldChar w:fldCharType="separate"/>
      </w:r>
      <w:r>
        <w:rPr>
          <w:sz w:val="24"/>
        </w:rPr>
        <w:t>102</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"_Toc519373566" </w:instrText>
      </w:r>
      <w:r>
        <w:fldChar w:fldCharType="separate"/>
      </w:r>
      <w:r>
        <w:rPr>
          <w:rStyle w:val="14"/>
          <w:sz w:val="24"/>
        </w:rPr>
        <w:t xml:space="preserve">4.1 </w:t>
      </w:r>
      <w:r>
        <w:rPr>
          <w:rStyle w:val="14"/>
          <w:rFonts w:hint="eastAsia"/>
          <w:sz w:val="24"/>
        </w:rPr>
        <w:t>科普场所</w:t>
      </w:r>
      <w:r>
        <w:rPr>
          <w:sz w:val="24"/>
        </w:rPr>
        <w:tab/>
      </w:r>
      <w:r>
        <w:rPr>
          <w:sz w:val="24"/>
        </w:rPr>
        <w:fldChar w:fldCharType="begin"/>
      </w:r>
      <w:r>
        <w:rPr>
          <w:sz w:val="24"/>
        </w:rPr>
        <w:instrText xml:space="preserve"> PAGEREF _Toc519373566 \h </w:instrText>
      </w:r>
      <w:r>
        <w:rPr>
          <w:sz w:val="24"/>
        </w:rPr>
        <w:fldChar w:fldCharType="separate"/>
      </w:r>
      <w:r>
        <w:rPr>
          <w:sz w:val="24"/>
        </w:rPr>
        <w:t>102</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"_Toc519373567" </w:instrText>
      </w:r>
      <w:r>
        <w:fldChar w:fldCharType="separate"/>
      </w:r>
      <w:r>
        <w:rPr>
          <w:rStyle w:val="14"/>
          <w:sz w:val="24"/>
        </w:rPr>
        <w:t xml:space="preserve">4.2 </w:t>
      </w:r>
      <w:r>
        <w:rPr>
          <w:rStyle w:val="14"/>
          <w:rFonts w:hint="eastAsia"/>
          <w:sz w:val="24"/>
        </w:rPr>
        <w:t>义务植树</w:t>
      </w:r>
      <w:r>
        <w:rPr>
          <w:sz w:val="24"/>
        </w:rPr>
        <w:tab/>
      </w:r>
      <w:r>
        <w:rPr>
          <w:sz w:val="24"/>
        </w:rPr>
        <w:fldChar w:fldCharType="begin"/>
      </w:r>
      <w:r>
        <w:rPr>
          <w:sz w:val="24"/>
        </w:rPr>
        <w:instrText xml:space="preserve"> PAGEREF _Toc519373567 \h </w:instrText>
      </w:r>
      <w:r>
        <w:rPr>
          <w:sz w:val="24"/>
        </w:rPr>
        <w:fldChar w:fldCharType="separate"/>
      </w:r>
      <w:r>
        <w:rPr>
          <w:sz w:val="24"/>
        </w:rPr>
        <w:t>104</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"_Toc519373568" </w:instrText>
      </w:r>
      <w:r>
        <w:fldChar w:fldCharType="separate"/>
      </w:r>
      <w:r>
        <w:rPr>
          <w:rStyle w:val="14"/>
          <w:sz w:val="24"/>
        </w:rPr>
        <w:t xml:space="preserve">4.3 </w:t>
      </w:r>
      <w:r>
        <w:rPr>
          <w:rStyle w:val="14"/>
          <w:rFonts w:hint="eastAsia"/>
          <w:sz w:val="24"/>
        </w:rPr>
        <w:t>科普活动</w:t>
      </w:r>
      <w:r>
        <w:rPr>
          <w:sz w:val="24"/>
        </w:rPr>
        <w:tab/>
      </w:r>
      <w:r>
        <w:rPr>
          <w:sz w:val="24"/>
        </w:rPr>
        <w:fldChar w:fldCharType="begin"/>
      </w:r>
      <w:r>
        <w:rPr>
          <w:sz w:val="24"/>
        </w:rPr>
        <w:instrText xml:space="preserve"> PAGEREF _Toc519373568 \h </w:instrText>
      </w:r>
      <w:r>
        <w:rPr>
          <w:sz w:val="24"/>
        </w:rPr>
        <w:fldChar w:fldCharType="separate"/>
      </w:r>
      <w:r>
        <w:rPr>
          <w:sz w:val="24"/>
        </w:rPr>
        <w:t>107</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"_Toc519373569" </w:instrText>
      </w:r>
      <w:r>
        <w:fldChar w:fldCharType="separate"/>
      </w:r>
      <w:r>
        <w:rPr>
          <w:rStyle w:val="14"/>
          <w:sz w:val="24"/>
        </w:rPr>
        <w:t xml:space="preserve">4.4 </w:t>
      </w:r>
      <w:r>
        <w:rPr>
          <w:rStyle w:val="14"/>
          <w:rFonts w:hint="eastAsia"/>
          <w:sz w:val="24"/>
        </w:rPr>
        <w:t>古树名木</w:t>
      </w:r>
      <w:r>
        <w:rPr>
          <w:sz w:val="24"/>
        </w:rPr>
        <w:tab/>
      </w:r>
      <w:r>
        <w:rPr>
          <w:sz w:val="24"/>
        </w:rPr>
        <w:fldChar w:fldCharType="begin"/>
      </w:r>
      <w:r>
        <w:rPr>
          <w:sz w:val="24"/>
        </w:rPr>
        <w:instrText xml:space="preserve"> PAGEREF _Toc519373569 \h </w:instrText>
      </w:r>
      <w:r>
        <w:rPr>
          <w:sz w:val="24"/>
        </w:rPr>
        <w:fldChar w:fldCharType="separate"/>
      </w:r>
      <w:r>
        <w:rPr>
          <w:sz w:val="24"/>
        </w:rPr>
        <w:t>109</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"_Toc519373570" </w:instrText>
      </w:r>
      <w:r>
        <w:fldChar w:fldCharType="separate"/>
      </w:r>
      <w:r>
        <w:rPr>
          <w:rStyle w:val="14"/>
          <w:sz w:val="24"/>
        </w:rPr>
        <w:t xml:space="preserve">4.5 </w:t>
      </w:r>
      <w:r>
        <w:rPr>
          <w:rStyle w:val="14"/>
          <w:rFonts w:hint="eastAsia"/>
          <w:sz w:val="24"/>
        </w:rPr>
        <w:t>市树市花</w:t>
      </w:r>
      <w:r>
        <w:rPr>
          <w:sz w:val="24"/>
        </w:rPr>
        <w:tab/>
      </w:r>
      <w:r>
        <w:rPr>
          <w:sz w:val="24"/>
        </w:rPr>
        <w:fldChar w:fldCharType="begin"/>
      </w:r>
      <w:r>
        <w:rPr>
          <w:sz w:val="24"/>
        </w:rPr>
        <w:instrText xml:space="preserve"> PAGEREF _Toc519373570 \h </w:instrText>
      </w:r>
      <w:r>
        <w:rPr>
          <w:sz w:val="24"/>
        </w:rPr>
        <w:fldChar w:fldCharType="separate"/>
      </w:r>
      <w:r>
        <w:rPr>
          <w:sz w:val="24"/>
        </w:rPr>
        <w:t>111</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"_Toc519373571" </w:instrText>
      </w:r>
      <w:r>
        <w:fldChar w:fldCharType="separate"/>
      </w:r>
      <w:r>
        <w:rPr>
          <w:rStyle w:val="14"/>
          <w:sz w:val="24"/>
        </w:rPr>
        <w:t xml:space="preserve">4.6 </w:t>
      </w:r>
      <w:r>
        <w:rPr>
          <w:rStyle w:val="14"/>
          <w:rFonts w:hint="eastAsia"/>
          <w:sz w:val="24"/>
        </w:rPr>
        <w:t>公众态度</w:t>
      </w:r>
      <w:r>
        <w:rPr>
          <w:sz w:val="24"/>
        </w:rPr>
        <w:tab/>
      </w:r>
      <w:r>
        <w:rPr>
          <w:sz w:val="24"/>
        </w:rPr>
        <w:fldChar w:fldCharType="begin"/>
      </w:r>
      <w:r>
        <w:rPr>
          <w:sz w:val="24"/>
        </w:rPr>
        <w:instrText xml:space="preserve"> PAGEREF _Toc519373571 \h </w:instrText>
      </w:r>
      <w:r>
        <w:rPr>
          <w:sz w:val="24"/>
        </w:rPr>
        <w:fldChar w:fldCharType="separate"/>
      </w:r>
      <w:r>
        <w:rPr>
          <w:sz w:val="24"/>
        </w:rPr>
        <w:t>113</w:t>
      </w:r>
      <w:r>
        <w:rPr>
          <w:sz w:val="24"/>
        </w:rPr>
        <w:fldChar w:fldCharType="end"/>
      </w:r>
      <w:r>
        <w:rPr>
          <w:sz w:val="24"/>
        </w:rPr>
        <w:fldChar w:fldCharType="end"/>
      </w:r>
    </w:p>
    <w:p>
      <w:pPr>
        <w:pStyle w:val="12"/>
        <w:tabs>
          <w:tab w:val="right" w:leader="dot" w:pos="8296"/>
        </w:tabs>
        <w:spacing w:line="360" w:lineRule="auto"/>
        <w:rPr>
          <w:sz w:val="24"/>
        </w:rPr>
      </w:pPr>
      <w:r>
        <w:fldChar w:fldCharType="begin"/>
      </w:r>
      <w:r>
        <w:instrText xml:space="preserve"> HYPERLINK \l "_Toc519373572" </w:instrText>
      </w:r>
      <w:r>
        <w:fldChar w:fldCharType="separate"/>
      </w:r>
      <w:r>
        <w:rPr>
          <w:rStyle w:val="14"/>
          <w:sz w:val="24"/>
        </w:rPr>
        <w:t xml:space="preserve">5 </w:t>
      </w:r>
      <w:r>
        <w:rPr>
          <w:rStyle w:val="14"/>
          <w:rFonts w:hint="eastAsia"/>
          <w:sz w:val="24"/>
        </w:rPr>
        <w:t>城市森林管理</w:t>
      </w:r>
      <w:r>
        <w:rPr>
          <w:sz w:val="24"/>
        </w:rPr>
        <w:tab/>
      </w:r>
      <w:r>
        <w:rPr>
          <w:sz w:val="24"/>
        </w:rPr>
        <w:fldChar w:fldCharType="begin"/>
      </w:r>
      <w:r>
        <w:rPr>
          <w:sz w:val="24"/>
        </w:rPr>
        <w:instrText xml:space="preserve"> PAGEREF _Toc519373572 \h </w:instrText>
      </w:r>
      <w:r>
        <w:rPr>
          <w:sz w:val="24"/>
        </w:rPr>
        <w:fldChar w:fldCharType="separate"/>
      </w:r>
      <w:r>
        <w:rPr>
          <w:sz w:val="24"/>
        </w:rPr>
        <w:t>117</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"_Toc519373573" </w:instrText>
      </w:r>
      <w:r>
        <w:fldChar w:fldCharType="separate"/>
      </w:r>
      <w:r>
        <w:rPr>
          <w:rStyle w:val="14"/>
          <w:sz w:val="24"/>
        </w:rPr>
        <w:t xml:space="preserve">5.1 </w:t>
      </w:r>
      <w:r>
        <w:rPr>
          <w:rStyle w:val="14"/>
          <w:rFonts w:hint="eastAsia"/>
          <w:sz w:val="24"/>
        </w:rPr>
        <w:t>组织领导</w:t>
      </w:r>
      <w:r>
        <w:rPr>
          <w:sz w:val="24"/>
        </w:rPr>
        <w:tab/>
      </w:r>
      <w:r>
        <w:rPr>
          <w:sz w:val="24"/>
        </w:rPr>
        <w:fldChar w:fldCharType="begin"/>
      </w:r>
      <w:r>
        <w:rPr>
          <w:sz w:val="24"/>
        </w:rPr>
        <w:instrText xml:space="preserve"> PAGEREF _Toc519373573 \h </w:instrText>
      </w:r>
      <w:r>
        <w:rPr>
          <w:sz w:val="24"/>
        </w:rPr>
        <w:fldChar w:fldCharType="separate"/>
      </w:r>
      <w:r>
        <w:rPr>
          <w:sz w:val="24"/>
        </w:rPr>
        <w:t>117</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"_Toc519373574" </w:instrText>
      </w:r>
      <w:r>
        <w:fldChar w:fldCharType="separate"/>
      </w:r>
      <w:r>
        <w:rPr>
          <w:rStyle w:val="14"/>
          <w:sz w:val="24"/>
        </w:rPr>
        <w:t xml:space="preserve">5.2 </w:t>
      </w:r>
      <w:r>
        <w:rPr>
          <w:rStyle w:val="14"/>
          <w:rFonts w:hint="eastAsia"/>
          <w:sz w:val="24"/>
        </w:rPr>
        <w:t>保障制度</w:t>
      </w:r>
      <w:r>
        <w:rPr>
          <w:sz w:val="24"/>
        </w:rPr>
        <w:tab/>
      </w:r>
      <w:r>
        <w:rPr>
          <w:sz w:val="24"/>
        </w:rPr>
        <w:fldChar w:fldCharType="begin"/>
      </w:r>
      <w:r>
        <w:rPr>
          <w:sz w:val="24"/>
        </w:rPr>
        <w:instrText xml:space="preserve"> PAGEREF _Toc519373574 \h </w:instrText>
      </w:r>
      <w:r>
        <w:rPr>
          <w:sz w:val="24"/>
        </w:rPr>
        <w:fldChar w:fldCharType="separate"/>
      </w:r>
      <w:r>
        <w:rPr>
          <w:sz w:val="24"/>
        </w:rPr>
        <w:t>122</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"_Toc519373575" </w:instrText>
      </w:r>
      <w:r>
        <w:fldChar w:fldCharType="separate"/>
      </w:r>
      <w:r>
        <w:rPr>
          <w:rStyle w:val="14"/>
          <w:sz w:val="24"/>
        </w:rPr>
        <w:t xml:space="preserve">5.3 </w:t>
      </w:r>
      <w:r>
        <w:rPr>
          <w:rStyle w:val="14"/>
          <w:rFonts w:hint="eastAsia"/>
          <w:sz w:val="24"/>
        </w:rPr>
        <w:t>科学规划</w:t>
      </w:r>
      <w:r>
        <w:rPr>
          <w:sz w:val="24"/>
        </w:rPr>
        <w:tab/>
      </w:r>
      <w:r>
        <w:rPr>
          <w:sz w:val="24"/>
        </w:rPr>
        <w:fldChar w:fldCharType="begin"/>
      </w:r>
      <w:r>
        <w:rPr>
          <w:sz w:val="24"/>
        </w:rPr>
        <w:instrText xml:space="preserve"> PAGEREF _Toc519373575 \h </w:instrText>
      </w:r>
      <w:r>
        <w:rPr>
          <w:sz w:val="24"/>
        </w:rPr>
        <w:fldChar w:fldCharType="separate"/>
      </w:r>
      <w:r>
        <w:rPr>
          <w:sz w:val="24"/>
        </w:rPr>
        <w:t>127</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"_Toc519373576" </w:instrText>
      </w:r>
      <w:r>
        <w:fldChar w:fldCharType="separate"/>
      </w:r>
      <w:r>
        <w:rPr>
          <w:rStyle w:val="14"/>
          <w:sz w:val="24"/>
        </w:rPr>
        <w:t xml:space="preserve">5.4 </w:t>
      </w:r>
      <w:r>
        <w:rPr>
          <w:rStyle w:val="14"/>
          <w:rFonts w:hint="eastAsia"/>
          <w:sz w:val="24"/>
        </w:rPr>
        <w:t>投入机制</w:t>
      </w:r>
      <w:r>
        <w:rPr>
          <w:sz w:val="24"/>
        </w:rPr>
        <w:tab/>
      </w:r>
      <w:r>
        <w:rPr>
          <w:sz w:val="24"/>
        </w:rPr>
        <w:fldChar w:fldCharType="begin"/>
      </w:r>
      <w:r>
        <w:rPr>
          <w:sz w:val="24"/>
        </w:rPr>
        <w:instrText xml:space="preserve"> PAGEREF _Toc519373576 \h </w:instrText>
      </w:r>
      <w:r>
        <w:rPr>
          <w:sz w:val="24"/>
        </w:rPr>
        <w:fldChar w:fldCharType="separate"/>
      </w:r>
      <w:r>
        <w:rPr>
          <w:sz w:val="24"/>
        </w:rPr>
        <w:t>128</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"_Toc519373577" </w:instrText>
      </w:r>
      <w:r>
        <w:fldChar w:fldCharType="separate"/>
      </w:r>
      <w:r>
        <w:rPr>
          <w:rStyle w:val="14"/>
          <w:sz w:val="24"/>
        </w:rPr>
        <w:t xml:space="preserve">5.5 </w:t>
      </w:r>
      <w:r>
        <w:rPr>
          <w:rStyle w:val="14"/>
          <w:rFonts w:hint="eastAsia"/>
          <w:sz w:val="24"/>
        </w:rPr>
        <w:t>科技支撑</w:t>
      </w:r>
      <w:r>
        <w:rPr>
          <w:sz w:val="24"/>
        </w:rPr>
        <w:tab/>
      </w:r>
      <w:r>
        <w:rPr>
          <w:sz w:val="24"/>
        </w:rPr>
        <w:fldChar w:fldCharType="begin"/>
      </w:r>
      <w:r>
        <w:rPr>
          <w:sz w:val="24"/>
        </w:rPr>
        <w:instrText xml:space="preserve"> PAGEREF _Toc519373577 \h </w:instrText>
      </w:r>
      <w:r>
        <w:rPr>
          <w:sz w:val="24"/>
        </w:rPr>
        <w:fldChar w:fldCharType="separate"/>
      </w:r>
      <w:r>
        <w:rPr>
          <w:sz w:val="24"/>
        </w:rPr>
        <w:t>136</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"_Toc519373578" </w:instrText>
      </w:r>
      <w:r>
        <w:fldChar w:fldCharType="separate"/>
      </w:r>
      <w:r>
        <w:rPr>
          <w:rStyle w:val="14"/>
          <w:sz w:val="24"/>
        </w:rPr>
        <w:t xml:space="preserve">5.6 </w:t>
      </w:r>
      <w:r>
        <w:rPr>
          <w:rStyle w:val="14"/>
          <w:rFonts w:hint="eastAsia"/>
          <w:sz w:val="24"/>
        </w:rPr>
        <w:t>生态服务</w:t>
      </w:r>
      <w:r>
        <w:rPr>
          <w:sz w:val="24"/>
        </w:rPr>
        <w:tab/>
      </w:r>
      <w:r>
        <w:rPr>
          <w:sz w:val="24"/>
        </w:rPr>
        <w:fldChar w:fldCharType="begin"/>
      </w:r>
      <w:r>
        <w:rPr>
          <w:sz w:val="24"/>
        </w:rPr>
        <w:instrText xml:space="preserve"> PAGEREF _Toc519373578 \h </w:instrText>
      </w:r>
      <w:r>
        <w:rPr>
          <w:sz w:val="24"/>
        </w:rPr>
        <w:fldChar w:fldCharType="separate"/>
      </w:r>
      <w:r>
        <w:rPr>
          <w:sz w:val="24"/>
        </w:rPr>
        <w:t>141</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"_Toc519373579" </w:instrText>
      </w:r>
      <w:r>
        <w:fldChar w:fldCharType="separate"/>
      </w:r>
      <w:r>
        <w:rPr>
          <w:rStyle w:val="14"/>
          <w:sz w:val="24"/>
        </w:rPr>
        <w:t xml:space="preserve">5.7 </w:t>
      </w:r>
      <w:r>
        <w:rPr>
          <w:rStyle w:val="14"/>
          <w:rFonts w:hint="eastAsia"/>
          <w:sz w:val="24"/>
        </w:rPr>
        <w:t>森林资源和生态功能监测</w:t>
      </w:r>
      <w:r>
        <w:rPr>
          <w:sz w:val="24"/>
        </w:rPr>
        <w:tab/>
      </w:r>
      <w:r>
        <w:rPr>
          <w:sz w:val="24"/>
        </w:rPr>
        <w:fldChar w:fldCharType="begin"/>
      </w:r>
      <w:r>
        <w:rPr>
          <w:sz w:val="24"/>
        </w:rPr>
        <w:instrText xml:space="preserve"> PAGEREF _Toc519373579 \h </w:instrText>
      </w:r>
      <w:r>
        <w:rPr>
          <w:sz w:val="24"/>
        </w:rPr>
        <w:fldChar w:fldCharType="separate"/>
      </w:r>
      <w:r>
        <w:rPr>
          <w:sz w:val="24"/>
        </w:rPr>
        <w:t>143</w:t>
      </w:r>
      <w:r>
        <w:rPr>
          <w:sz w:val="24"/>
        </w:rPr>
        <w:fldChar w:fldCharType="end"/>
      </w:r>
      <w:r>
        <w:rPr>
          <w:sz w:val="24"/>
        </w:rPr>
        <w:fldChar w:fldCharType="end"/>
      </w:r>
    </w:p>
    <w:p>
      <w:pPr>
        <w:pStyle w:val="7"/>
        <w:tabs>
          <w:tab w:val="right" w:leader="dot" w:pos="8296"/>
        </w:tabs>
        <w:spacing w:line="360" w:lineRule="auto"/>
        <w:rPr>
          <w:sz w:val="24"/>
        </w:rPr>
      </w:pPr>
      <w:r>
        <w:fldChar w:fldCharType="begin"/>
      </w:r>
      <w:r>
        <w:instrText xml:space="preserve"> HYPERLINK \l "_Toc519373580" </w:instrText>
      </w:r>
      <w:r>
        <w:fldChar w:fldCharType="separate"/>
      </w:r>
      <w:r>
        <w:rPr>
          <w:rStyle w:val="14"/>
          <w:sz w:val="24"/>
        </w:rPr>
        <w:t xml:space="preserve">5.8 </w:t>
      </w:r>
      <w:r>
        <w:rPr>
          <w:rStyle w:val="14"/>
          <w:rFonts w:hint="eastAsia"/>
          <w:sz w:val="24"/>
        </w:rPr>
        <w:t>档案管理</w:t>
      </w:r>
      <w:r>
        <w:rPr>
          <w:sz w:val="24"/>
        </w:rPr>
        <w:tab/>
      </w:r>
      <w:r>
        <w:rPr>
          <w:sz w:val="24"/>
        </w:rPr>
        <w:fldChar w:fldCharType="begin"/>
      </w:r>
      <w:r>
        <w:rPr>
          <w:sz w:val="24"/>
        </w:rPr>
        <w:instrText xml:space="preserve"> PAGEREF _Toc519373580 \h </w:instrText>
      </w:r>
      <w:r>
        <w:rPr>
          <w:sz w:val="24"/>
        </w:rPr>
        <w:fldChar w:fldCharType="separate"/>
      </w:r>
      <w:r>
        <w:rPr>
          <w:sz w:val="24"/>
        </w:rPr>
        <w:t>145</w:t>
      </w:r>
      <w:r>
        <w:rPr>
          <w:sz w:val="24"/>
        </w:rPr>
        <w:fldChar w:fldCharType="end"/>
      </w:r>
      <w:r>
        <w:rPr>
          <w:sz w:val="24"/>
        </w:rPr>
        <w:fldChar w:fldCharType="end"/>
      </w:r>
    </w:p>
    <w:p>
      <w:pPr>
        <w:pStyle w:val="17"/>
        <w:spacing w:line="360" w:lineRule="auto"/>
        <w:jc w:val="center"/>
        <w:outlineLvl w:val="0"/>
        <w:rPr>
          <w:rFonts w:ascii="Times New Roman" w:hAnsi="Times New Roman" w:eastAsia="华文宋体" w:cs="Times New Roman"/>
          <w:b/>
          <w:bCs/>
          <w:color w:val="000000" w:themeColor="text1"/>
          <w:sz w:val="36"/>
          <w:szCs w:val="36"/>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ascii="Times New Roman" w:hAnsi="Times New Roman" w:eastAsia="华文宋体" w:cs="Times New Roman"/>
          <w:b/>
          <w:bCs/>
          <w:color w:val="000000" w:themeColor="text1"/>
          <w:sz w:val="44"/>
          <w:szCs w:val="36"/>
          <w14:textFill>
            <w14:solidFill>
              <w14:schemeClr w14:val="tx1"/>
            </w14:solidFill>
          </w14:textFill>
        </w:rPr>
        <w:fldChar w:fldCharType="end"/>
      </w:r>
    </w:p>
    <w:p>
      <w:pPr>
        <w:pStyle w:val="17"/>
        <w:spacing w:line="300" w:lineRule="auto"/>
        <w:jc w:val="center"/>
        <w:outlineLvl w:val="0"/>
        <w:rPr>
          <w:rFonts w:ascii="Times New Roman" w:hAnsi="Times New Roman" w:eastAsia="华文宋体" w:cs="Times New Roman"/>
          <w:b/>
          <w:bCs/>
          <w:color w:val="000000" w:themeColor="text1"/>
          <w:sz w:val="36"/>
          <w:szCs w:val="36"/>
          <w14:textFill>
            <w14:solidFill>
              <w14:schemeClr w14:val="tx1"/>
            </w14:solidFill>
          </w14:textFill>
        </w:rPr>
      </w:pPr>
      <w:bookmarkStart w:id="0" w:name="_Toc519373533"/>
      <w:r>
        <w:rPr>
          <w:rFonts w:ascii="Times New Roman" w:hAnsi="Times New Roman" w:eastAsia="华文宋体" w:cs="Times New Roman"/>
          <w:b/>
          <w:bCs/>
          <w:color w:val="000000" w:themeColor="text1"/>
          <w:sz w:val="36"/>
          <w:szCs w:val="36"/>
          <w14:textFill>
            <w14:solidFill>
              <w14:schemeClr w14:val="tx1"/>
            </w14:solidFill>
          </w14:textFill>
        </w:rPr>
        <w:t>前言</w:t>
      </w:r>
      <w:bookmarkEnd w:id="0"/>
    </w:p>
    <w:p>
      <w:pPr>
        <w:autoSpaceDE w:val="0"/>
        <w:autoSpaceDN w:val="0"/>
        <w:adjustRightInd w:val="0"/>
        <w:snapToGrid w:val="0"/>
        <w:spacing w:before="156" w:beforeLines="50"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是山东省直辖县级市，位于山东省西南部，东倚沂蒙山区，西临鲁西平原，南襟徐淮要冲，北枕泰岱南脉。邹城市是中国历史上著名的思想家、教育家孟子的诞生地，素有“孔孟桑梓之邦，文化发祥之地”之美誉，也是国家历史文化名城、中国优秀旅游城市、全国十佳投资创业城市、全国综合实力百强县市。邹城市坚持生态优先战略，立足资源优势，深挖林业发展潜力，统筹生态、经济、社会三大效益，以“增绿工程”为主线，开创了一条生态环境优良、资源综合利用、产业快速发展、农民增收致富的现代林业发展之路。邹城市高度重视林业发展，先后荣获全国生态建设突出贡献奖、中国林业产业发展突出贡献奖、全国经济林建设先进市、山东省森林城市等荣誉称号，在济宁市春季林业生产现场观摩会中荣获“</w:t>
      </w:r>
      <w:r>
        <w:rPr>
          <w:rFonts w:hint="eastAsia" w:ascii="Times New Roman" w:hAnsi="Times New Roman" w:eastAsia="华文宋体" w:cs="Times New Roman"/>
          <w:color w:val="C00000"/>
          <w:sz w:val="28"/>
          <w:szCs w:val="28"/>
          <w:lang w:val="en-US" w:eastAsia="zh-CN"/>
        </w:rPr>
        <w:t>七</w:t>
      </w:r>
      <w:r>
        <w:rPr>
          <w:rFonts w:ascii="Times New Roman" w:hAnsi="Times New Roman" w:eastAsia="华文宋体" w:cs="Times New Roman"/>
          <w:color w:val="000000" w:themeColor="text1"/>
          <w:sz w:val="28"/>
          <w:szCs w:val="28"/>
          <w14:textFill>
            <w14:solidFill>
              <w14:schemeClr w14:val="tx1"/>
            </w14:solidFill>
          </w14:textFill>
        </w:rPr>
        <w:t>连冠”。邹城市以森林关系国家生态安全、山水林田湖生命共同体理念和森林城市理念为指导，</w:t>
      </w:r>
      <w:r>
        <w:rPr>
          <w:rFonts w:ascii="Times New Roman" w:hAnsi="Times New Roman" w:eastAsia="华文宋体" w:cs="Times New Roman"/>
          <w:color w:val="FF0000"/>
          <w:sz w:val="28"/>
          <w:szCs w:val="28"/>
        </w:rPr>
        <w:t>以建设“孟子故里</w:t>
      </w:r>
      <w:r>
        <w:rPr>
          <w:rFonts w:hint="eastAsia" w:ascii="Times New Roman" w:hAnsi="Times New Roman" w:eastAsia="华文宋体" w:cs="Times New Roman"/>
          <w:color w:val="FF0000"/>
          <w:sz w:val="28"/>
          <w:szCs w:val="28"/>
          <w:lang w:eastAsia="zh-CN"/>
        </w:rPr>
        <w:t>、</w:t>
      </w:r>
      <w:r>
        <w:rPr>
          <w:rFonts w:hint="eastAsia" w:ascii="Times New Roman" w:hAnsi="Times New Roman" w:eastAsia="华文宋体" w:cs="Times New Roman"/>
          <w:color w:val="FF0000"/>
          <w:sz w:val="28"/>
          <w:szCs w:val="28"/>
          <w:lang w:val="en-US" w:eastAsia="zh-CN"/>
        </w:rPr>
        <w:t>森林邹城</w:t>
      </w:r>
      <w:r>
        <w:rPr>
          <w:rFonts w:ascii="Times New Roman" w:hAnsi="Times New Roman" w:eastAsia="华文宋体" w:cs="Times New Roman"/>
          <w:color w:val="FF0000"/>
          <w:sz w:val="28"/>
          <w:szCs w:val="28"/>
        </w:rPr>
        <w:t>”</w:t>
      </w:r>
      <w:r>
        <w:rPr>
          <w:rFonts w:ascii="Times New Roman" w:hAnsi="Times New Roman" w:eastAsia="华文宋体" w:cs="Times New Roman"/>
          <w:color w:val="000000" w:themeColor="text1"/>
          <w:sz w:val="28"/>
          <w:szCs w:val="28"/>
          <w14:textFill>
            <w14:solidFill>
              <w14:schemeClr w14:val="tx1"/>
            </w14:solidFill>
          </w14:textFill>
        </w:rPr>
        <w:t>的县级国家森林城市为目标，</w:t>
      </w:r>
      <w:r>
        <w:rPr>
          <w:rFonts w:ascii="Times New Roman" w:hAnsi="Times New Roman" w:eastAsia="华文宋体" w:cs="Times New Roman"/>
          <w:color w:val="FF0000"/>
          <w:sz w:val="28"/>
          <w:szCs w:val="28"/>
        </w:rPr>
        <w:t>通过</w:t>
      </w:r>
      <w:r>
        <w:rPr>
          <w:rFonts w:hint="eastAsia" w:ascii="Times New Roman" w:hAnsi="Times New Roman" w:eastAsia="华文宋体" w:cs="Times New Roman"/>
          <w:color w:val="FF0000"/>
          <w:sz w:val="28"/>
          <w:szCs w:val="28"/>
          <w:lang w:val="en-US" w:eastAsia="zh-CN"/>
        </w:rPr>
        <w:t>实施</w:t>
      </w:r>
      <w:r>
        <w:rPr>
          <w:rFonts w:ascii="Times New Roman" w:hAnsi="Times New Roman" w:eastAsia="华文宋体" w:cs="Times New Roman"/>
          <w:color w:val="000000" w:themeColor="text1"/>
          <w:sz w:val="28"/>
          <w:szCs w:val="28"/>
          <w14:textFill>
            <w14:solidFill>
              <w14:schemeClr w14:val="tx1"/>
            </w14:solidFill>
          </w14:textFill>
        </w:rPr>
        <w:t>城市森林建设工程、美丽乡村建设工程、山区综合治理工程等，大力改善城市绿色环境，发展城市绿色经济，培育城市绿色文化，构建以东、南、北三面山体为生态屏障，以水系、道路、农田林网、建成区绿地系统和镇村绿化为主体的生态安全体系，形成以特色经济林和生态旅游产业为核心的森林经济发展模式，建成具有绿色生态文化特色的国家森林城市。截至2015年底，</w:t>
      </w:r>
      <w:r>
        <w:rPr>
          <w:rFonts w:hint="eastAsia" w:ascii="Times New Roman" w:hAnsi="Times New Roman" w:eastAsia="华文宋体" w:cs="Times New Roman"/>
          <w:color w:val="C00000"/>
          <w:sz w:val="28"/>
          <w:szCs w:val="28"/>
          <w:lang w:val="en-US" w:eastAsia="zh-CN"/>
        </w:rPr>
        <w:t>邹城</w:t>
      </w:r>
      <w:r>
        <w:rPr>
          <w:rFonts w:ascii="Times New Roman" w:hAnsi="Times New Roman" w:eastAsia="华文宋体" w:cs="Times New Roman"/>
          <w:color w:val="000000" w:themeColor="text1"/>
          <w:sz w:val="28"/>
          <w:szCs w:val="28"/>
          <w14:textFill>
            <w14:solidFill>
              <w14:schemeClr w14:val="tx1"/>
            </w14:solidFill>
          </w14:textFill>
        </w:rPr>
        <w:t>市森林覆盖率达到</w:t>
      </w:r>
      <w:r>
        <w:rPr>
          <w:rFonts w:ascii="Times New Roman" w:hAnsi="Times New Roman" w:eastAsia="华文宋体" w:cs="Times New Roman"/>
          <w:color w:val="FF0000"/>
          <w:sz w:val="28"/>
          <w:szCs w:val="28"/>
        </w:rPr>
        <w:t>33.</w:t>
      </w:r>
      <w:r>
        <w:rPr>
          <w:rFonts w:hint="eastAsia" w:ascii="Times New Roman" w:hAnsi="Times New Roman" w:eastAsia="华文宋体" w:cs="Times New Roman"/>
          <w:color w:val="FF0000"/>
          <w:sz w:val="28"/>
          <w:szCs w:val="28"/>
          <w:lang w:val="en-US" w:eastAsia="zh-CN"/>
        </w:rPr>
        <w:t>2</w:t>
      </w:r>
      <w:r>
        <w:rPr>
          <w:rFonts w:ascii="Times New Roman" w:hAnsi="Times New Roman" w:eastAsia="华文宋体" w:cs="Times New Roman"/>
          <w:color w:val="FF0000"/>
          <w:sz w:val="28"/>
          <w:szCs w:val="28"/>
        </w:rPr>
        <w:t>2%，</w:t>
      </w:r>
      <w:r>
        <w:rPr>
          <w:rFonts w:ascii="Times New Roman" w:hAnsi="Times New Roman" w:eastAsia="华文宋体" w:cs="Times New Roman"/>
          <w:color w:val="000000" w:themeColor="text1"/>
          <w:sz w:val="28"/>
          <w:szCs w:val="28"/>
          <w14:textFill>
            <w14:solidFill>
              <w14:schemeClr w14:val="tx1"/>
            </w14:solidFill>
          </w14:textFill>
        </w:rPr>
        <w:t>建城区绿化覆盖率达到41.8%，城区街道树冠覆盖率达到33.1%，人均</w:t>
      </w:r>
      <w:r>
        <w:rPr>
          <w:rFonts w:ascii="Times New Roman" w:hAnsi="Times New Roman" w:eastAsia="华文宋体" w:cs="Times New Roman"/>
          <w:color w:val="C00000"/>
          <w:sz w:val="28"/>
          <w:szCs w:val="28"/>
        </w:rPr>
        <w:t>公</w:t>
      </w:r>
      <w:r>
        <w:rPr>
          <w:rFonts w:hint="eastAsia" w:ascii="Times New Roman" w:hAnsi="Times New Roman" w:eastAsia="华文宋体" w:cs="Times New Roman"/>
          <w:color w:val="C00000"/>
          <w:sz w:val="28"/>
          <w:szCs w:val="28"/>
          <w:lang w:val="en-US" w:eastAsia="zh-CN"/>
        </w:rPr>
        <w:t>园</w:t>
      </w:r>
      <w:r>
        <w:rPr>
          <w:rFonts w:ascii="Times New Roman" w:hAnsi="Times New Roman" w:eastAsia="华文宋体" w:cs="Times New Roman"/>
          <w:color w:val="000000" w:themeColor="text1"/>
          <w:sz w:val="28"/>
          <w:szCs w:val="28"/>
          <w14:textFill>
            <w14:solidFill>
              <w14:schemeClr w14:val="tx1"/>
            </w14:solidFill>
          </w14:textFill>
        </w:rPr>
        <w:t>绿地面积15.4</w:t>
      </w:r>
      <w:r>
        <w:rPr>
          <w:rFonts w:hint="eastAsia" w:ascii="宋体" w:hAnsi="宋体" w:eastAsia="宋体" w:cs="宋体"/>
          <w:color w:val="C00000"/>
          <w:sz w:val="28"/>
          <w:szCs w:val="28"/>
          <w:lang w:eastAsia="zh-CN"/>
        </w:rPr>
        <w:t>㎡</w:t>
      </w:r>
      <w:r>
        <w:rPr>
          <w:rFonts w:ascii="Times New Roman" w:hAnsi="Times New Roman" w:eastAsia="华文宋体" w:cs="Times New Roman"/>
          <w:color w:val="000000" w:themeColor="text1"/>
          <w:sz w:val="28"/>
          <w:szCs w:val="28"/>
          <w14:textFill>
            <w14:solidFill>
              <w14:schemeClr w14:val="tx1"/>
            </w14:solidFill>
          </w14:textFill>
        </w:rPr>
        <w:t>。邹城市委、市政府按照创建国家森林城市的要求编制《山东省邹城市国家森林城市建设总体规划》，建成符合国家森林城市要求的城市森林生态体系完备、林业产业发达和生态文化繁荣的城市森林系统。特别是开展</w:t>
      </w:r>
      <w:r>
        <w:rPr>
          <w:rFonts w:ascii="Times New Roman" w:hAnsi="Times New Roman" w:eastAsia="华文宋体" w:cs="Times New Roman"/>
          <w:color w:val="C00000"/>
          <w:sz w:val="28"/>
          <w:szCs w:val="28"/>
        </w:rPr>
        <w:t>国家森林城市创建工作以来</w:t>
      </w:r>
      <w:r>
        <w:rPr>
          <w:rFonts w:ascii="Times New Roman" w:hAnsi="Times New Roman" w:eastAsia="华文宋体" w:cs="Times New Roman"/>
          <w:color w:val="000000" w:themeColor="text1"/>
          <w:sz w:val="28"/>
          <w:szCs w:val="28"/>
          <w14:textFill>
            <w14:solidFill>
              <w14:schemeClr w14:val="tx1"/>
            </w14:solidFill>
          </w14:textFill>
        </w:rPr>
        <w:t>，城市面貌焕然一新，生活环境不断改善。为全面、准确、客观地反映邹城市森林城市建设成效，邹城市人民政府于2018年上半年开始，启动了《国家森林城市评价指标》（LY/T2004－2012）</w:t>
      </w:r>
      <w:r>
        <w:rPr>
          <w:rFonts w:ascii="Times New Roman" w:hAnsi="Times New Roman" w:eastAsia="华文宋体" w:cs="Times New Roman"/>
          <w:color w:val="FF0000"/>
          <w:sz w:val="28"/>
          <w:szCs w:val="28"/>
        </w:rPr>
        <w:t>自查工作</w:t>
      </w:r>
      <w:r>
        <w:rPr>
          <w:rFonts w:ascii="Times New Roman" w:hAnsi="Times New Roman" w:eastAsia="华文宋体" w:cs="Times New Roman"/>
          <w:color w:val="000000" w:themeColor="text1"/>
          <w:sz w:val="28"/>
          <w:szCs w:val="28"/>
          <w14:textFill>
            <w14:solidFill>
              <w14:schemeClr w14:val="tx1"/>
            </w14:solidFill>
          </w14:textFill>
        </w:rPr>
        <w:t>，指标自查结果表明，邹城市各项指标均已达到国家森林城市建设标准要求。</w:t>
      </w:r>
    </w:p>
    <w:p>
      <w:pPr>
        <w:tabs>
          <w:tab w:val="left" w:pos="2511"/>
        </w:tabs>
        <w:spacing w:line="360" w:lineRule="auto"/>
        <w:rPr>
          <w:rFonts w:ascii="Times New Roman" w:hAnsi="Times New Roman" w:eastAsia="华文宋体" w:cs="Times New Roman"/>
          <w:sz w:val="30"/>
          <w:szCs w:val="30"/>
        </w:rPr>
        <w:sectPr>
          <w:footerReference r:id="rId3" w:type="default"/>
          <w:pgSz w:w="11906" w:h="16838"/>
          <w:pgMar w:top="1440" w:right="1800" w:bottom="1440" w:left="1800" w:header="851" w:footer="992" w:gutter="0"/>
          <w:pgNumType w:start="1"/>
          <w:cols w:space="425" w:num="1"/>
          <w:docGrid w:type="lines" w:linePitch="312" w:charSpace="0"/>
        </w:sectPr>
      </w:pPr>
    </w:p>
    <w:p>
      <w:pPr>
        <w:pStyle w:val="2"/>
        <w:ind w:left="641" w:hanging="641"/>
        <w:rPr>
          <w:rFonts w:cs="Times New Roman"/>
        </w:rPr>
      </w:pPr>
      <w:bookmarkStart w:id="1" w:name="_Toc519373534"/>
      <w:r>
        <w:rPr>
          <w:rFonts w:cs="Times New Roman"/>
        </w:rPr>
        <w:t>自查方法和步骤</w:t>
      </w:r>
      <w:bookmarkEnd w:id="1"/>
    </w:p>
    <w:p>
      <w:pPr>
        <w:tabs>
          <w:tab w:val="left" w:pos="2511"/>
        </w:tabs>
        <w:spacing w:line="360" w:lineRule="auto"/>
        <w:rPr>
          <w:rFonts w:ascii="Times New Roman" w:hAnsi="Times New Roman" w:eastAsia="华文宋体" w:cs="Times New Roman"/>
          <w:sz w:val="30"/>
          <w:szCs w:val="30"/>
        </w:rPr>
      </w:pPr>
    </w:p>
    <w:p>
      <w:pPr>
        <w:tabs>
          <w:tab w:val="left" w:pos="2511"/>
        </w:tabs>
        <w:spacing w:line="360" w:lineRule="auto"/>
        <w:rPr>
          <w:rFonts w:ascii="Times New Roman" w:hAnsi="Times New Roman" w:eastAsia="华文宋体" w:cs="Times New Roman"/>
          <w:sz w:val="30"/>
          <w:szCs w:val="30"/>
        </w:rPr>
        <w:sectPr>
          <w:pgSz w:w="11906" w:h="16838"/>
          <w:pgMar w:top="1440" w:right="1800" w:bottom="1440" w:left="1800" w:header="851" w:footer="992" w:gutter="0"/>
          <w:cols w:space="425" w:num="1"/>
          <w:docGrid w:type="lines" w:linePitch="312" w:charSpace="0"/>
        </w:sectPr>
      </w:pPr>
    </w:p>
    <w:p>
      <w:pPr>
        <w:pStyle w:val="2"/>
        <w:ind w:left="641" w:hanging="641"/>
        <w:rPr>
          <w:rFonts w:cs="Times New Roman"/>
        </w:rPr>
      </w:pPr>
      <w:bookmarkStart w:id="2" w:name="_Toc519373535"/>
      <w:r>
        <w:rPr>
          <w:rFonts w:cs="Times New Roman"/>
        </w:rPr>
        <w:t>自查结果</w:t>
      </w:r>
      <w:bookmarkEnd w:id="2"/>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FF0000"/>
          <w:sz w:val="28"/>
          <w:szCs w:val="28"/>
        </w:rPr>
        <w:t>邹城市高度重视创建国家森林城市工作，把创建国家森林城市作为改善生态宜居环境、推进生态文明建设的重要抓手</w:t>
      </w:r>
      <w:r>
        <w:rPr>
          <w:rFonts w:hint="eastAsia" w:ascii="Times New Roman" w:hAnsi="Times New Roman" w:eastAsia="华文宋体" w:cs="Times New Roman"/>
          <w:color w:val="FF0000"/>
          <w:sz w:val="28"/>
          <w:szCs w:val="28"/>
          <w:lang w:eastAsia="zh-CN"/>
        </w:rPr>
        <w:t>，</w:t>
      </w:r>
      <w:r>
        <w:rPr>
          <w:rFonts w:ascii="Times New Roman" w:hAnsi="Times New Roman" w:eastAsia="华文宋体" w:cs="Times New Roman"/>
          <w:color w:val="FF0000"/>
          <w:sz w:val="28"/>
          <w:szCs w:val="28"/>
        </w:rPr>
        <w:t>作为进一步提升城市品位、改善生态环境、普惠民生的重要契机，</w:t>
      </w:r>
      <w:r>
        <w:rPr>
          <w:rFonts w:ascii="Times New Roman" w:hAnsi="Times New Roman" w:eastAsia="华文宋体" w:cs="Times New Roman"/>
          <w:color w:val="000000" w:themeColor="text1"/>
          <w:sz w:val="28"/>
          <w:szCs w:val="28"/>
          <w14:textFill>
            <w14:solidFill>
              <w14:schemeClr w14:val="tx1"/>
            </w14:solidFill>
          </w14:textFill>
        </w:rPr>
        <w:t>通过加强组织领导，狠抓责任落实，严格督导考核，</w:t>
      </w:r>
      <w:r>
        <w:rPr>
          <w:rFonts w:hint="eastAsia" w:ascii="Times New Roman" w:hAnsi="Times New Roman" w:eastAsia="华文宋体" w:cs="Times New Roman"/>
          <w:color w:val="FF0000"/>
          <w:sz w:val="28"/>
          <w:szCs w:val="28"/>
          <w:lang w:val="en-US" w:eastAsia="zh-CN"/>
        </w:rPr>
        <w:t>邹城市</w:t>
      </w:r>
      <w:r>
        <w:rPr>
          <w:rFonts w:ascii="Times New Roman" w:hAnsi="Times New Roman" w:eastAsia="华文宋体" w:cs="Times New Roman"/>
          <w:color w:val="000000" w:themeColor="text1"/>
          <w:sz w:val="28"/>
          <w:szCs w:val="28"/>
          <w14:textFill>
            <w14:solidFill>
              <w14:schemeClr w14:val="tx1"/>
            </w14:solidFill>
          </w14:textFill>
        </w:rPr>
        <w:t>森林城市建设取得辉煌的成就，涌现出一批亮点。主要如下：</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城区森林体系建设显著。邹城市通过改造现有城区公园、绿地，加快街头游园和林荫停车场建设，通过实施城区骨干道路和水系沿岸的绿化提升，形成园林绿化景观廊道，大力推进单位庭院绿化、居民小区绿化等。同时，进一步提升城区绿化覆盖率，推进绿化树种的乡土化、多样化，提高乔木种植比例，使其占绿地面积的60%以上。镇村绿化体系建设明显，村庄林木绿化率达到33.5%以上。林业产业体系建设完整，通过加快标准化经济林基地、苗木花卉基地、特色林果示范区、生态经济示范区、现代林业示范区和区域性市场流通体系建设等，推动林业产值达到29亿元。资源管护体系建设优良。落实领导干部发展保护森林资源责任制和森林防火目标责任制，确保林业有害生物成灾率在2‰以下，森林火灾受害率控制在0.5‰以下，涉林案件办结率达到95%以上。生态文化体系建设卓越。邹城市政府充分展开宣传活动，利用公园绿地、森林公园、湿地公园等建设生态科普教育基地，积极开展科普活动，新建义务植树基地16处，公众对森林城市建设的支持率和满意度达到90%以上。</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总体而言，邹城市通过国家森林城市建设，各项指标都已达到甚至远远超过《国家森林城市评价指标》的标准。</w:t>
      </w:r>
    </w:p>
    <w:p>
      <w:pPr>
        <w:widowControl/>
        <w:jc w:val="left"/>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br w:type="page"/>
      </w:r>
    </w:p>
    <w:p>
      <w:pPr>
        <w:spacing w:line="526" w:lineRule="exact"/>
        <w:ind w:right="-23"/>
        <w:jc w:val="center"/>
        <w:rPr>
          <w:rFonts w:ascii="Times New Roman" w:hAnsi="Times New Roman" w:cs="Times New Roman"/>
          <w:b/>
          <w:position w:val="-4"/>
          <w:sz w:val="36"/>
          <w:szCs w:val="36"/>
        </w:rPr>
        <w:sectPr>
          <w:pgSz w:w="11906" w:h="16838"/>
          <w:pgMar w:top="1440" w:right="1797" w:bottom="1440" w:left="1797" w:header="851" w:footer="992" w:gutter="0"/>
          <w:cols w:space="425" w:num="1"/>
          <w:docGrid w:type="lines" w:linePitch="312" w:charSpace="0"/>
        </w:sectPr>
      </w:pPr>
    </w:p>
    <w:p>
      <w:pPr>
        <w:spacing w:line="526" w:lineRule="exact"/>
        <w:ind w:right="-23"/>
        <w:jc w:val="center"/>
        <w:rPr>
          <w:rFonts w:ascii="Times New Roman" w:hAnsi="Times New Roman" w:cs="Times New Roman"/>
          <w:b/>
          <w:position w:val="-4"/>
          <w:sz w:val="36"/>
          <w:szCs w:val="36"/>
        </w:rPr>
      </w:pPr>
      <w:r>
        <w:rPr>
          <w:rFonts w:ascii="Times New Roman" w:hAnsi="Times New Roman" w:cs="Times New Roman"/>
          <w:b/>
          <w:position w:val="-4"/>
          <w:sz w:val="36"/>
          <w:szCs w:val="36"/>
        </w:rPr>
        <w:t>山东省邹城市</w:t>
      </w:r>
      <w:r>
        <w:rPr>
          <w:rFonts w:ascii="Times New Roman" w:hAnsi="Times New Roman" w:cs="Times New Roman"/>
          <w:b/>
          <w:spacing w:val="2"/>
          <w:position w:val="-4"/>
          <w:sz w:val="36"/>
          <w:szCs w:val="36"/>
        </w:rPr>
        <w:t>创</w:t>
      </w:r>
      <w:r>
        <w:rPr>
          <w:rFonts w:ascii="Times New Roman" w:hAnsi="Times New Roman" w:cs="Times New Roman"/>
          <w:b/>
          <w:position w:val="-4"/>
          <w:sz w:val="36"/>
          <w:szCs w:val="36"/>
        </w:rPr>
        <w:t>建国</w:t>
      </w:r>
      <w:r>
        <w:rPr>
          <w:rFonts w:ascii="Times New Roman" w:hAnsi="Times New Roman" w:cs="Times New Roman"/>
          <w:b/>
          <w:spacing w:val="2"/>
          <w:position w:val="-4"/>
          <w:sz w:val="36"/>
          <w:szCs w:val="36"/>
        </w:rPr>
        <w:t>家</w:t>
      </w:r>
      <w:r>
        <w:rPr>
          <w:rFonts w:ascii="Times New Roman" w:hAnsi="Times New Roman" w:cs="Times New Roman"/>
          <w:b/>
          <w:position w:val="-4"/>
          <w:sz w:val="36"/>
          <w:szCs w:val="36"/>
        </w:rPr>
        <w:t>森林城</w:t>
      </w:r>
      <w:r>
        <w:rPr>
          <w:rFonts w:ascii="Times New Roman" w:hAnsi="Times New Roman" w:cs="Times New Roman"/>
          <w:b/>
          <w:spacing w:val="2"/>
          <w:position w:val="-4"/>
          <w:sz w:val="36"/>
          <w:szCs w:val="36"/>
        </w:rPr>
        <w:t>市</w:t>
      </w:r>
      <w:r>
        <w:rPr>
          <w:rFonts w:ascii="Times New Roman" w:hAnsi="Times New Roman" w:cs="Times New Roman"/>
          <w:b/>
          <w:position w:val="-4"/>
          <w:sz w:val="36"/>
          <w:szCs w:val="36"/>
        </w:rPr>
        <w:t>指标</w:t>
      </w:r>
      <w:r>
        <w:rPr>
          <w:rFonts w:ascii="Times New Roman" w:hAnsi="Times New Roman" w:cs="Times New Roman"/>
          <w:b/>
          <w:spacing w:val="2"/>
          <w:position w:val="-4"/>
          <w:sz w:val="36"/>
          <w:szCs w:val="36"/>
        </w:rPr>
        <w:t>自</w:t>
      </w:r>
      <w:r>
        <w:rPr>
          <w:rFonts w:ascii="Times New Roman" w:hAnsi="Times New Roman" w:cs="Times New Roman"/>
          <w:b/>
          <w:position w:val="-4"/>
          <w:sz w:val="36"/>
          <w:szCs w:val="36"/>
        </w:rPr>
        <w:t>查对照表</w:t>
      </w:r>
    </w:p>
    <w:p>
      <w:pPr>
        <w:spacing w:line="526" w:lineRule="exact"/>
        <w:ind w:right="-23"/>
        <w:jc w:val="center"/>
        <w:rPr>
          <w:rFonts w:ascii="Times New Roman" w:hAnsi="Times New Roman" w:cs="Times New Roman"/>
          <w:b/>
          <w:position w:val="-4"/>
          <w:sz w:val="36"/>
          <w:szCs w:val="36"/>
        </w:rPr>
      </w:pPr>
    </w:p>
    <w:tbl>
      <w:tblPr>
        <w:tblStyle w:val="1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921"/>
        <w:gridCol w:w="2770"/>
        <w:gridCol w:w="2897"/>
        <w:gridCol w:w="6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blHeader/>
        </w:trPr>
        <w:tc>
          <w:tcPr>
            <w:tcW w:w="1315" w:type="dxa"/>
            <w:vAlign w:val="center"/>
          </w:tcPr>
          <w:p>
            <w:pPr>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序号</w:t>
            </w:r>
          </w:p>
        </w:tc>
        <w:tc>
          <w:tcPr>
            <w:tcW w:w="3691" w:type="dxa"/>
            <w:gridSpan w:val="2"/>
            <w:vAlign w:val="center"/>
          </w:tcPr>
          <w:p>
            <w:pPr>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指标体系</w:t>
            </w:r>
          </w:p>
        </w:tc>
        <w:tc>
          <w:tcPr>
            <w:tcW w:w="2897" w:type="dxa"/>
            <w:vAlign w:val="center"/>
          </w:tcPr>
          <w:p>
            <w:pPr>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标准</w:t>
            </w:r>
          </w:p>
        </w:tc>
        <w:tc>
          <w:tcPr>
            <w:tcW w:w="6271" w:type="dxa"/>
            <w:vAlign w:val="center"/>
          </w:tcPr>
          <w:p>
            <w:pPr>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自查结果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1</w:t>
            </w:r>
          </w:p>
        </w:tc>
        <w:tc>
          <w:tcPr>
            <w:tcW w:w="921" w:type="dxa"/>
            <w:vMerge w:val="restart"/>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市</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森</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林</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网</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络</w:t>
            </w: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市域森林覆盖率</w:t>
            </w:r>
          </w:p>
        </w:tc>
        <w:tc>
          <w:tcPr>
            <w:tcW w:w="2897" w:type="dxa"/>
            <w:vAlign w:val="center"/>
          </w:tcPr>
          <w:p>
            <w:pPr>
              <w:rPr>
                <w:rFonts w:ascii="Times New Roman" w:hAnsi="Times New Roman" w:eastAsia="华文宋体" w:cs="Times New Roman"/>
                <w:bCs/>
                <w:kern w:val="0"/>
                <w:szCs w:val="21"/>
              </w:rPr>
            </w:pPr>
            <w:r>
              <w:rPr>
                <w:rFonts w:ascii="Times New Roman" w:hAnsi="Times New Roman" w:eastAsia="华文宋体" w:cs="Times New Roman"/>
                <w:bCs/>
                <w:kern w:val="0"/>
                <w:szCs w:val="21"/>
              </w:rPr>
              <w:t>年降水量400-800毫米以上地区的城市市域森林覆盖率达到30%以上，且分布均匀，其中三分之二以上的区、县森林覆盖率应达到30%以上。</w:t>
            </w:r>
          </w:p>
        </w:tc>
        <w:tc>
          <w:tcPr>
            <w:tcW w:w="6271" w:type="dxa"/>
            <w:vAlign w:val="center"/>
          </w:tcPr>
          <w:p>
            <w:pPr>
              <w:tabs>
                <w:tab w:val="left" w:pos="2511"/>
              </w:tabs>
              <w:rPr>
                <w:rFonts w:ascii="Times New Roman" w:hAnsi="Times New Roman" w:eastAsia="华文宋体" w:cs="Times New Roman"/>
                <w:bCs/>
                <w:szCs w:val="21"/>
              </w:rPr>
            </w:pPr>
            <w:r>
              <w:rPr>
                <w:rFonts w:ascii="Times New Roman" w:hAnsi="Times New Roman" w:eastAsia="华文宋体" w:cs="Times New Roman"/>
                <w:bCs/>
                <w:szCs w:val="21"/>
              </w:rPr>
              <w:t>达标。据统计计算，邹城市1981-2017年平均年降水量为689.8毫米，近五年降雨量分别是642.7毫米、717.3毫米、591.1毫米、866.8 毫米、711.4毫米。全市国土面积为161656.47公顷，到2017年底森林面积达到</w:t>
            </w:r>
            <w:r>
              <w:rPr>
                <w:rFonts w:ascii="Times New Roman" w:hAnsi="Times New Roman" w:eastAsia="华文宋体" w:cs="Times New Roman"/>
                <w:bCs/>
                <w:kern w:val="0"/>
                <w:szCs w:val="21"/>
                <w:lang w:bidi="ar"/>
              </w:rPr>
              <w:t>57735</w:t>
            </w:r>
            <w:r>
              <w:rPr>
                <w:rFonts w:ascii="Times New Roman" w:hAnsi="Times New Roman" w:eastAsia="华文宋体" w:cs="Times New Roman"/>
                <w:bCs/>
                <w:szCs w:val="21"/>
              </w:rPr>
              <w:t>公顷，其中有林地面积</w:t>
            </w:r>
            <w:r>
              <w:rPr>
                <w:rFonts w:ascii="Times New Roman" w:hAnsi="Times New Roman" w:eastAsia="华文宋体" w:cs="Times New Roman"/>
                <w:bCs/>
                <w:kern w:val="0"/>
                <w:szCs w:val="21"/>
                <w:lang w:bidi="ar"/>
              </w:rPr>
              <w:t>51869.3</w:t>
            </w:r>
            <w:r>
              <w:rPr>
                <w:rFonts w:ascii="Times New Roman" w:hAnsi="Times New Roman" w:eastAsia="华文宋体" w:cs="Times New Roman"/>
                <w:bCs/>
                <w:szCs w:val="21"/>
              </w:rPr>
              <w:t>公顷，国家特殊灌木林地面积</w:t>
            </w:r>
            <w:r>
              <w:rPr>
                <w:rFonts w:ascii="Times New Roman" w:hAnsi="Times New Roman" w:eastAsia="华文宋体" w:cs="Times New Roman"/>
                <w:bCs/>
                <w:kern w:val="0"/>
                <w:szCs w:val="21"/>
                <w:lang w:bidi="ar"/>
              </w:rPr>
              <w:t>87.28</w:t>
            </w:r>
            <w:r>
              <w:rPr>
                <w:rFonts w:ascii="Times New Roman" w:hAnsi="Times New Roman" w:eastAsia="华文宋体" w:cs="Times New Roman"/>
                <w:bCs/>
                <w:szCs w:val="21"/>
              </w:rPr>
              <w:t>公顷，农田林网折算片林面积</w:t>
            </w:r>
            <w:r>
              <w:rPr>
                <w:rFonts w:ascii="Times New Roman" w:hAnsi="Times New Roman" w:eastAsia="华文宋体" w:cs="Times New Roman"/>
                <w:bCs/>
                <w:kern w:val="0"/>
                <w:szCs w:val="21"/>
                <w:lang w:bidi="ar"/>
              </w:rPr>
              <w:t>1020</w:t>
            </w:r>
            <w:r>
              <w:rPr>
                <w:rFonts w:ascii="Times New Roman" w:hAnsi="Times New Roman" w:eastAsia="华文宋体" w:cs="Times New Roman"/>
                <w:bCs/>
                <w:szCs w:val="21"/>
              </w:rPr>
              <w:t>公顷，四旁林木折合片林面积</w:t>
            </w:r>
            <w:r>
              <w:rPr>
                <w:rFonts w:ascii="Times New Roman" w:hAnsi="Times New Roman" w:eastAsia="华文宋体" w:cs="Times New Roman"/>
                <w:bCs/>
                <w:kern w:val="0"/>
                <w:szCs w:val="21"/>
                <w:lang w:bidi="ar"/>
              </w:rPr>
              <w:t>4758.42</w:t>
            </w:r>
            <w:r>
              <w:rPr>
                <w:rFonts w:ascii="Times New Roman" w:hAnsi="Times New Roman" w:eastAsia="华文宋体" w:cs="Times New Roman"/>
                <w:bCs/>
                <w:szCs w:val="21"/>
              </w:rPr>
              <w:t>公顷，森林覆盖率达到35.71％，且分布均匀，其中三分之二以上的镇街森林覆盖率均达到30％以上。</w:t>
            </w:r>
          </w:p>
          <w:p>
            <w:pPr>
              <w:rPr>
                <w:rFonts w:ascii="Times New Roman" w:hAnsi="Times New Roman" w:eastAsia="华文宋体"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2</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新造林面积</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自创建以来，平均每年完成新造林面积占市域面积的0.5%以上。</w:t>
            </w:r>
          </w:p>
        </w:tc>
        <w:tc>
          <w:tcPr>
            <w:tcW w:w="6271"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szCs w:val="21"/>
              </w:rPr>
              <w:t>达标。邹城市2016年新造林面积为2972 公顷，占市域面积的1.84%；2017年新造林面积为884公顷，占市域面积的0.55%；2018年春季新造林面积为724.1公顷，占市域面积的0.45%；邹城市2016-2018年平均每年新造林面积占市域面积的0.94%。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3"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城区绿化覆盖率</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城区绿化覆盖率达到40%以上。</w:t>
            </w:r>
          </w:p>
        </w:tc>
        <w:tc>
          <w:tcPr>
            <w:tcW w:w="6271" w:type="dxa"/>
            <w:vAlign w:val="center"/>
          </w:tcPr>
          <w:p>
            <w:pPr>
              <w:wordWrap w:val="0"/>
              <w:jc w:val="left"/>
              <w:rPr>
                <w:rFonts w:ascii="Times New Roman" w:hAnsi="Times New Roman" w:eastAsia="华文宋体" w:cs="Times New Roman"/>
                <w:bCs/>
                <w:szCs w:val="21"/>
              </w:rPr>
            </w:pPr>
            <w:r>
              <w:rPr>
                <w:rFonts w:ascii="Times New Roman" w:hAnsi="Times New Roman" w:eastAsia="华文宋体" w:cs="Times New Roman"/>
                <w:bCs/>
                <w:szCs w:val="21"/>
              </w:rPr>
              <w:t>达标。至2017年底邹城市建成区总面积4400.00</w:t>
            </w:r>
            <w:r>
              <w:rPr>
                <w:rFonts w:ascii="Times New Roman" w:hAnsi="Times New Roman" w:eastAsia="华文宋体" w:cs="Times New Roman"/>
                <w:bCs/>
                <w:kern w:val="0"/>
                <w:szCs w:val="21"/>
              </w:rPr>
              <w:t>公顷</w:t>
            </w:r>
            <w:r>
              <w:rPr>
                <w:rFonts w:ascii="Times New Roman" w:hAnsi="Times New Roman" w:eastAsia="华文宋体" w:cs="Times New Roman"/>
                <w:bCs/>
                <w:szCs w:val="21"/>
              </w:rPr>
              <w:t>，绿化覆盖面积为1909.43</w:t>
            </w:r>
            <w:r>
              <w:rPr>
                <w:rFonts w:ascii="Times New Roman" w:hAnsi="Times New Roman" w:eastAsia="华文宋体" w:cs="Times New Roman"/>
                <w:bCs/>
                <w:kern w:val="0"/>
                <w:szCs w:val="21"/>
              </w:rPr>
              <w:t>公顷</w:t>
            </w:r>
            <w:r>
              <w:rPr>
                <w:rFonts w:ascii="Times New Roman" w:hAnsi="Times New Roman" w:eastAsia="华文宋体" w:cs="Times New Roman"/>
                <w:bCs/>
                <w:szCs w:val="21"/>
              </w:rPr>
              <w:t>，其中公园绿地覆盖面积502.57</w:t>
            </w:r>
            <w:r>
              <w:rPr>
                <w:rFonts w:ascii="Times New Roman" w:hAnsi="Times New Roman" w:eastAsia="华文宋体" w:cs="Times New Roman"/>
                <w:bCs/>
                <w:kern w:val="0"/>
                <w:szCs w:val="21"/>
              </w:rPr>
              <w:t>公顷</w:t>
            </w:r>
            <w:r>
              <w:rPr>
                <w:rFonts w:ascii="Times New Roman" w:hAnsi="Times New Roman" w:eastAsia="华文宋体" w:cs="Times New Roman"/>
                <w:bCs/>
                <w:szCs w:val="21"/>
              </w:rPr>
              <w:t>，附属绿地覆盖面积437.16</w:t>
            </w:r>
            <w:r>
              <w:rPr>
                <w:rFonts w:ascii="Times New Roman" w:hAnsi="Times New Roman" w:eastAsia="华文宋体" w:cs="Times New Roman"/>
                <w:bCs/>
                <w:kern w:val="0"/>
                <w:szCs w:val="21"/>
              </w:rPr>
              <w:t>公顷</w:t>
            </w:r>
            <w:r>
              <w:rPr>
                <w:rFonts w:ascii="Times New Roman" w:hAnsi="Times New Roman" w:eastAsia="华文宋体" w:cs="Times New Roman"/>
                <w:bCs/>
                <w:szCs w:val="21"/>
              </w:rPr>
              <w:t>，防护绿地覆盖面积939.38</w:t>
            </w:r>
            <w:r>
              <w:rPr>
                <w:rFonts w:ascii="Times New Roman" w:hAnsi="Times New Roman" w:eastAsia="华文宋体" w:cs="Times New Roman"/>
                <w:bCs/>
                <w:kern w:val="0"/>
                <w:szCs w:val="21"/>
              </w:rPr>
              <w:t>公顷</w:t>
            </w:r>
            <w:r>
              <w:rPr>
                <w:rFonts w:ascii="Times New Roman" w:hAnsi="Times New Roman" w:eastAsia="华文宋体" w:cs="Times New Roman"/>
                <w:bCs/>
                <w:szCs w:val="21"/>
              </w:rPr>
              <w:t>，生产绿地覆盖面积12.00</w:t>
            </w:r>
            <w:r>
              <w:rPr>
                <w:rFonts w:ascii="Times New Roman" w:hAnsi="Times New Roman" w:eastAsia="华文宋体" w:cs="Times New Roman"/>
                <w:bCs/>
                <w:kern w:val="0"/>
                <w:szCs w:val="21"/>
              </w:rPr>
              <w:t>公顷</w:t>
            </w:r>
            <w:r>
              <w:rPr>
                <w:rFonts w:ascii="Times New Roman" w:hAnsi="Times New Roman" w:eastAsia="华文宋体" w:cs="Times New Roman"/>
                <w:bCs/>
                <w:szCs w:val="21"/>
              </w:rPr>
              <w:t>，其他绿地覆盖面积18.32</w:t>
            </w:r>
            <w:r>
              <w:rPr>
                <w:rFonts w:ascii="Times New Roman" w:hAnsi="Times New Roman" w:eastAsia="华文宋体" w:cs="Times New Roman"/>
                <w:bCs/>
                <w:kern w:val="0"/>
                <w:szCs w:val="21"/>
              </w:rPr>
              <w:t>公顷</w:t>
            </w:r>
            <w:r>
              <w:rPr>
                <w:rFonts w:ascii="Times New Roman" w:hAnsi="Times New Roman" w:eastAsia="华文宋体" w:cs="Times New Roman"/>
                <w:bCs/>
                <w:szCs w:val="21"/>
              </w:rPr>
              <w:t>，城区绿化覆盖率达到43.39%。</w:t>
            </w:r>
          </w:p>
          <w:p>
            <w:pPr>
              <w:jc w:val="left"/>
              <w:rPr>
                <w:rFonts w:ascii="Times New Roman" w:hAnsi="Times New Roman" w:eastAsia="华文宋体"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4</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城区人均公园绿地面积</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城区人均公园绿地面积达到11</w:t>
            </w:r>
            <w:r>
              <w:rPr>
                <w:rFonts w:hint="eastAsia" w:ascii="Times New Roman" w:hAnsi="Times New Roman" w:eastAsia="华文宋体" w:cs="Times New Roman"/>
                <w:bCs/>
                <w:kern w:val="0"/>
                <w:szCs w:val="21"/>
                <w:lang w:val="en-US" w:eastAsia="zh-CN"/>
              </w:rPr>
              <w:t>平方米</w:t>
            </w:r>
            <w:r>
              <w:rPr>
                <w:rFonts w:ascii="Times New Roman" w:hAnsi="Times New Roman" w:eastAsia="华文宋体" w:cs="Times New Roman"/>
                <w:bCs/>
                <w:kern w:val="0"/>
                <w:szCs w:val="21"/>
              </w:rPr>
              <w:t>以上。</w:t>
            </w:r>
          </w:p>
        </w:tc>
        <w:tc>
          <w:tcPr>
            <w:tcW w:w="6271" w:type="dxa"/>
            <w:vAlign w:val="center"/>
          </w:tcPr>
          <w:p>
            <w:pPr>
              <w:jc w:val="left"/>
              <w:rPr>
                <w:rFonts w:ascii="Times New Roman" w:hAnsi="Times New Roman" w:eastAsia="华文宋体" w:cs="Times New Roman"/>
                <w:bCs/>
                <w:color w:val="FF0000"/>
                <w:szCs w:val="21"/>
              </w:rPr>
            </w:pPr>
            <w:r>
              <w:rPr>
                <w:rFonts w:ascii="Times New Roman" w:hAnsi="Times New Roman" w:eastAsia="华文宋体" w:cs="Times New Roman"/>
                <w:bCs/>
                <w:szCs w:val="21"/>
              </w:rPr>
              <w:t>达标。至2017年年底，邹城市建设公园绿地49处，公园绿地总面积502.57公顷，邹城市城区常住人口为31.4万人，人均公园绿地面积达到1</w:t>
            </w:r>
            <w:r>
              <w:rPr>
                <w:rFonts w:ascii="Times New Roman" w:hAnsi="Times New Roman" w:eastAsia="华文宋体" w:cs="Times New Roman"/>
                <w:bCs/>
                <w:kern w:val="0"/>
                <w:szCs w:val="21"/>
              </w:rPr>
              <w:t>6.01</w:t>
            </w:r>
            <w:r>
              <w:rPr>
                <w:rFonts w:hint="eastAsia" w:ascii="Times New Roman" w:hAnsi="Times New Roman" w:eastAsia="华文宋体" w:cs="Times New Roman"/>
                <w:bCs/>
                <w:color w:val="FF0000"/>
                <w:szCs w:val="21"/>
                <w:lang w:val="en-US" w:eastAsia="zh-CN"/>
              </w:rPr>
              <w:t>平方米</w:t>
            </w:r>
            <w:r>
              <w:rPr>
                <w:rFonts w:ascii="Times New Roman" w:hAnsi="Times New Roman" w:eastAsia="华文宋体" w:cs="Times New Roman"/>
                <w:bCs/>
                <w:szCs w:val="21"/>
              </w:rPr>
              <w:t>。</w:t>
            </w:r>
          </w:p>
          <w:p>
            <w:pPr>
              <w:rPr>
                <w:rFonts w:ascii="Times New Roman" w:hAnsi="Times New Roman" w:eastAsia="华文宋体"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5</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城区乔木种植比例</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城区绿地建设应该注重提高乔木种植比例，其栽植面积应占到绿地面积的60%以上。</w:t>
            </w:r>
          </w:p>
        </w:tc>
        <w:tc>
          <w:tcPr>
            <w:tcW w:w="6271" w:type="dxa"/>
            <w:vAlign w:val="center"/>
          </w:tcPr>
          <w:p>
            <w:pPr>
              <w:pStyle w:val="19"/>
              <w:tabs>
                <w:tab w:val="left" w:pos="426"/>
              </w:tabs>
              <w:ind w:firstLine="0" w:firstLineChars="0"/>
              <w:rPr>
                <w:rFonts w:ascii="Times New Roman" w:hAnsi="Times New Roman" w:eastAsia="华文宋体" w:cs="Times New Roman"/>
                <w:bCs/>
                <w:kern w:val="0"/>
                <w:szCs w:val="21"/>
              </w:rPr>
            </w:pPr>
            <w:r>
              <w:rPr>
                <w:rFonts w:ascii="Times New Roman" w:hAnsi="Times New Roman" w:eastAsia="华文宋体" w:cs="Times New Roman"/>
                <w:bCs/>
                <w:szCs w:val="21"/>
                <w:lang w:val="ru-RU"/>
              </w:rPr>
              <w:t>达标。根据对邹城市城区乔木种植抽样调查，邹城市城区乔木栽植比例达到</w:t>
            </w:r>
            <w:r>
              <w:rPr>
                <w:rFonts w:ascii="Times New Roman" w:hAnsi="Times New Roman" w:eastAsia="华文宋体" w:cs="Times New Roman"/>
                <w:bCs/>
                <w:szCs w:val="21"/>
              </w:rPr>
              <w:t>71.16</w:t>
            </w:r>
            <w:r>
              <w:rPr>
                <w:rFonts w:ascii="Times New Roman" w:hAnsi="Times New Roman" w:eastAsia="华文宋体" w:cs="Times New Roman"/>
                <w:bCs/>
                <w:szCs w:val="21"/>
                <w:lang w:val="ru-RU"/>
              </w:rPr>
              <w:t>%，各抽样调查样本的城区乔木栽植比例在</w:t>
            </w:r>
            <w:r>
              <w:rPr>
                <w:rFonts w:ascii="Times New Roman" w:hAnsi="Times New Roman" w:eastAsia="华文宋体" w:cs="Times New Roman"/>
                <w:bCs/>
                <w:szCs w:val="21"/>
              </w:rPr>
              <w:t>60-86%之间。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6</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城区街道绿化</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城区街道的树冠覆盖率达到25%以上。</w:t>
            </w:r>
          </w:p>
        </w:tc>
        <w:tc>
          <w:tcPr>
            <w:tcW w:w="6271" w:type="dxa"/>
            <w:vAlign w:val="center"/>
          </w:tcPr>
          <w:p>
            <w:pPr>
              <w:rPr>
                <w:rFonts w:ascii="Times New Roman" w:hAnsi="Times New Roman" w:eastAsia="华文宋体" w:cs="Times New Roman"/>
                <w:bCs/>
                <w:szCs w:val="21"/>
              </w:rPr>
            </w:pPr>
            <w:r>
              <w:rPr>
                <w:rFonts w:ascii="Times New Roman" w:hAnsi="Times New Roman" w:eastAsia="华文宋体" w:cs="Times New Roman"/>
                <w:bCs/>
                <w:szCs w:val="21"/>
              </w:rPr>
              <w:t>达标。根据对邹城市建成区7条主要街道的调查，7条主要街道总面积为47800</w:t>
            </w:r>
            <w:r>
              <w:rPr>
                <w:rFonts w:hint="eastAsia" w:ascii="Times New Roman" w:hAnsi="Times New Roman" w:eastAsia="华文宋体" w:cs="Times New Roman"/>
                <w:bCs/>
                <w:szCs w:val="21"/>
                <w:lang w:val="en-US" w:eastAsia="zh-CN"/>
              </w:rPr>
              <w:t>平方米</w:t>
            </w:r>
            <w:r>
              <w:rPr>
                <w:rFonts w:ascii="Times New Roman" w:hAnsi="Times New Roman" w:eastAsia="华文宋体" w:cs="Times New Roman"/>
                <w:bCs/>
                <w:szCs w:val="21"/>
              </w:rPr>
              <w:t>，树冠覆盖样线总面积为16235</w:t>
            </w:r>
            <w:r>
              <w:rPr>
                <w:rFonts w:hint="eastAsia" w:ascii="Times New Roman" w:hAnsi="Times New Roman" w:eastAsia="华文宋体" w:cs="Times New Roman"/>
                <w:bCs/>
                <w:szCs w:val="21"/>
                <w:lang w:val="en-US" w:eastAsia="zh-CN"/>
              </w:rPr>
              <w:t>平方米</w:t>
            </w:r>
            <w:r>
              <w:rPr>
                <w:rFonts w:ascii="Times New Roman" w:hAnsi="Times New Roman" w:eastAsia="华文宋体" w:cs="Times New Roman"/>
                <w:bCs/>
                <w:szCs w:val="21"/>
              </w:rPr>
              <w:t>，建成区街道树冠覆盖率达到33.96%，抽样调查中各样本街道树冠覆盖率在25.6-75.0%之间，因此邹城市建成区街道树冠覆盖率均超过25%</w:t>
            </w:r>
          </w:p>
          <w:p>
            <w:pPr>
              <w:autoSpaceDE w:val="0"/>
              <w:autoSpaceDN w:val="0"/>
              <w:adjustRightInd w:val="0"/>
              <w:jc w:val="left"/>
              <w:rPr>
                <w:rFonts w:hint="eastAsia" w:ascii="Times New Roman" w:hAnsi="Times New Roman" w:eastAsia="华文宋体" w:cs="Times New Roman"/>
                <w:bCs/>
                <w:kern w:val="0"/>
                <w:szCs w:val="21"/>
                <w:lang w:eastAsia="zh-CN"/>
              </w:rPr>
            </w:pPr>
            <w:r>
              <w:rPr>
                <w:rFonts w:hint="eastAsia" w:ascii="宋体" w:hAnsi="宋体" w:eastAsia="宋体" w:cs="宋体"/>
                <w:bCs/>
                <w:kern w:val="0"/>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7</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城区地面停车场绿化</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自创建以来，城区新建地面停车场的乔木树冠覆盖率达30%以上。</w:t>
            </w:r>
          </w:p>
        </w:tc>
        <w:tc>
          <w:tcPr>
            <w:tcW w:w="6271" w:type="dxa"/>
            <w:vAlign w:val="center"/>
          </w:tcPr>
          <w:p>
            <w:pPr>
              <w:rPr>
                <w:rFonts w:ascii="Times New Roman" w:hAnsi="Times New Roman" w:eastAsia="华文宋体" w:cs="Times New Roman"/>
                <w:bCs/>
                <w:kern w:val="0"/>
                <w:szCs w:val="21"/>
              </w:rPr>
            </w:pPr>
            <w:r>
              <w:rPr>
                <w:rFonts w:ascii="Times New Roman" w:hAnsi="Times New Roman" w:eastAsia="华文宋体" w:cs="Times New Roman"/>
                <w:bCs/>
                <w:szCs w:val="21"/>
              </w:rPr>
              <w:t>达标。据调查结果表明，邹城市2016-2017年新建地面停车场面积</w:t>
            </w:r>
            <w:r>
              <w:rPr>
                <w:rFonts w:ascii="Times New Roman" w:hAnsi="Times New Roman" w:eastAsia="华文宋体" w:cs="Times New Roman"/>
                <w:bCs/>
                <w:kern w:val="0"/>
                <w:szCs w:val="21"/>
                <w:lang w:bidi="ar"/>
              </w:rPr>
              <w:t>18490.9</w:t>
            </w:r>
            <w:r>
              <w:rPr>
                <w:rFonts w:hint="eastAsia" w:ascii="Times New Roman" w:hAnsi="Times New Roman" w:eastAsia="华文宋体" w:cs="Times New Roman"/>
                <w:bCs/>
                <w:szCs w:val="21"/>
                <w:lang w:val="en-US" w:eastAsia="zh-CN"/>
              </w:rPr>
              <w:t>平方米</w:t>
            </w:r>
            <w:r>
              <w:rPr>
                <w:rFonts w:ascii="Times New Roman" w:hAnsi="Times New Roman" w:eastAsia="华文宋体" w:cs="Times New Roman"/>
                <w:bCs/>
                <w:szCs w:val="21"/>
              </w:rPr>
              <w:t>，树冠覆盖面积</w:t>
            </w:r>
            <w:r>
              <w:rPr>
                <w:rFonts w:ascii="Times New Roman" w:hAnsi="Times New Roman" w:eastAsia="华文宋体" w:cs="Times New Roman"/>
                <w:bCs/>
                <w:color w:val="000000"/>
                <w:kern w:val="0"/>
                <w:szCs w:val="21"/>
                <w:lang w:bidi="ar"/>
              </w:rPr>
              <w:t>6081.9</w:t>
            </w:r>
            <w:r>
              <w:rPr>
                <w:rFonts w:hint="eastAsia" w:ascii="Times New Roman" w:hAnsi="Times New Roman" w:eastAsia="华文宋体" w:cs="Times New Roman"/>
                <w:bCs/>
                <w:szCs w:val="21"/>
                <w:lang w:val="en-US" w:eastAsia="zh-CN"/>
              </w:rPr>
              <w:t>平方米</w:t>
            </w:r>
            <w:r>
              <w:rPr>
                <w:rFonts w:ascii="Times New Roman" w:hAnsi="Times New Roman" w:eastAsia="华文宋体" w:cs="Times New Roman"/>
                <w:bCs/>
                <w:szCs w:val="21"/>
              </w:rPr>
              <w:t>，树冠覆盖率达到</w:t>
            </w:r>
            <w:r>
              <w:rPr>
                <w:rFonts w:ascii="Times New Roman" w:hAnsi="Times New Roman" w:eastAsia="华文宋体" w:cs="Times New Roman"/>
                <w:bCs/>
                <w:kern w:val="0"/>
                <w:szCs w:val="21"/>
                <w:lang w:bidi="ar"/>
              </w:rPr>
              <w:t xml:space="preserve">32.89 </w:t>
            </w:r>
            <w:r>
              <w:rPr>
                <w:rFonts w:ascii="Times New Roman" w:hAnsi="Times New Roman" w:eastAsia="华文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8</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城市重要水源地绿化</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城市重要水源地森林植被保护完好，功能完善，森林覆盖率达到70%以上，水质净化和水源涵养作用得到有效发挥。</w:t>
            </w:r>
          </w:p>
        </w:tc>
        <w:tc>
          <w:tcPr>
            <w:tcW w:w="6271" w:type="dxa"/>
            <w:vAlign w:val="center"/>
          </w:tcPr>
          <w:p>
            <w:pPr>
              <w:rPr>
                <w:rFonts w:ascii="Times New Roman" w:hAnsi="Times New Roman" w:eastAsia="华文宋体" w:cs="Times New Roman"/>
                <w:bCs/>
                <w:szCs w:val="21"/>
              </w:rPr>
            </w:pPr>
            <w:r>
              <w:rPr>
                <w:rFonts w:ascii="Times New Roman" w:hAnsi="Times New Roman" w:eastAsia="华文宋体" w:cs="Times New Roman"/>
                <w:bCs/>
                <w:szCs w:val="21"/>
              </w:rPr>
              <w:t>达标。自创建国家森林城市以来，邹城市主要以西苇水库、莫亭水库为主进行水库周边绿化，同时对重要水源地进行了植被保护，使得植被保护完好，功能完善，充分发挥水源涵养、保持水土、改善水质等作用。</w:t>
            </w:r>
            <w:r>
              <w:rPr>
                <w:rFonts w:ascii="Times New Roman" w:hAnsi="Times New Roman" w:eastAsia="华文宋体" w:cs="Times New Roman"/>
                <w:bCs/>
                <w:color w:val="C00000"/>
                <w:szCs w:val="21"/>
              </w:rPr>
              <w:t>截</w:t>
            </w:r>
            <w:r>
              <w:rPr>
                <w:rFonts w:hint="eastAsia" w:ascii="Times New Roman" w:hAnsi="Times New Roman" w:eastAsia="华文宋体" w:cs="Times New Roman"/>
                <w:bCs/>
                <w:color w:val="C00000"/>
                <w:szCs w:val="21"/>
                <w:lang w:val="en-US" w:eastAsia="zh-CN"/>
              </w:rPr>
              <w:t>至</w:t>
            </w:r>
            <w:r>
              <w:rPr>
                <w:rFonts w:ascii="Times New Roman" w:hAnsi="Times New Roman" w:eastAsia="华文宋体" w:cs="Times New Roman"/>
                <w:bCs/>
                <w:color w:val="C00000"/>
                <w:szCs w:val="21"/>
              </w:rPr>
              <w:t>2017年底</w:t>
            </w:r>
            <w:r>
              <w:rPr>
                <w:rFonts w:hint="eastAsia" w:ascii="Times New Roman" w:hAnsi="Times New Roman" w:eastAsia="华文宋体" w:cs="Times New Roman"/>
                <w:bCs/>
                <w:color w:val="C00000"/>
                <w:szCs w:val="21"/>
                <w:lang w:eastAsia="zh-CN"/>
              </w:rPr>
              <w:t>，</w:t>
            </w:r>
            <w:r>
              <w:rPr>
                <w:rFonts w:ascii="Times New Roman" w:hAnsi="Times New Roman" w:eastAsia="华文宋体" w:cs="Times New Roman"/>
                <w:bCs/>
                <w:szCs w:val="21"/>
              </w:rPr>
              <w:t>邹城市建有城市重要水源地15处，水源地宜绿化面积为</w:t>
            </w:r>
            <w:r>
              <w:rPr>
                <w:rFonts w:ascii="Times New Roman" w:hAnsi="Times New Roman" w:eastAsia="华文宋体" w:cs="Times New Roman"/>
                <w:bCs/>
                <w:kern w:val="0"/>
                <w:szCs w:val="21"/>
                <w:lang w:bidi="ar"/>
              </w:rPr>
              <w:t>15648.8</w:t>
            </w:r>
            <w:r>
              <w:rPr>
                <w:rFonts w:ascii="Times New Roman" w:hAnsi="Times New Roman" w:eastAsia="华文宋体" w:cs="Times New Roman"/>
                <w:bCs/>
                <w:szCs w:val="21"/>
              </w:rPr>
              <w:t>公顷，已绿化面积为</w:t>
            </w:r>
            <w:r>
              <w:rPr>
                <w:rFonts w:ascii="Times New Roman" w:hAnsi="Times New Roman" w:eastAsia="华文宋体" w:cs="Times New Roman"/>
                <w:bCs/>
                <w:kern w:val="0"/>
                <w:szCs w:val="21"/>
                <w:lang w:bidi="ar"/>
              </w:rPr>
              <w:t>12634.1</w:t>
            </w:r>
            <w:r>
              <w:rPr>
                <w:rFonts w:ascii="Times New Roman" w:hAnsi="Times New Roman" w:eastAsia="华文宋体" w:cs="Times New Roman"/>
                <w:bCs/>
                <w:szCs w:val="21"/>
              </w:rPr>
              <w:t>公顷，水源地森林覆盖率达到80.74%。</w:t>
            </w:r>
          </w:p>
          <w:p>
            <w:pPr>
              <w:pStyle w:val="19"/>
              <w:autoSpaceDE w:val="0"/>
              <w:autoSpaceDN w:val="0"/>
              <w:adjustRightInd w:val="0"/>
              <w:ind w:firstLine="0" w:firstLineChars="0"/>
              <w:jc w:val="left"/>
              <w:rPr>
                <w:rFonts w:ascii="Times New Roman" w:hAnsi="Times New Roman" w:eastAsia="华文宋体"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9</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休闲游憩绿地建设</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区建有多处以各类公园为主的休闲绿地，分布均匀，使市民出门500米有休闲绿地，基本满足本市居民日常游憩需求；郊区建有森林公园、湿地公园和其它面积20公顷以上的郊野公园等大型生态旅游休闲场所5处以上。</w:t>
            </w:r>
          </w:p>
        </w:tc>
        <w:tc>
          <w:tcPr>
            <w:tcW w:w="6271" w:type="dxa"/>
            <w:vAlign w:val="center"/>
          </w:tcPr>
          <w:p>
            <w:pPr>
              <w:wordWrap w:val="0"/>
              <w:jc w:val="left"/>
              <w:rPr>
                <w:rFonts w:ascii="Times New Roman" w:hAnsi="Times New Roman" w:eastAsia="华文宋体" w:cs="Times New Roman"/>
                <w:bCs/>
                <w:color w:val="FF0000"/>
                <w:szCs w:val="21"/>
              </w:rPr>
            </w:pPr>
            <w:r>
              <w:rPr>
                <w:rFonts w:ascii="Times New Roman" w:hAnsi="Times New Roman" w:eastAsia="华文宋体" w:cs="Times New Roman"/>
                <w:bCs/>
                <w:szCs w:val="21"/>
              </w:rPr>
              <w:t>达标。自创建国家森林城市以来，邹城市加大建成区绿地建设力度，合理布局，建设主要公园绿地42处，面积达到了433.44公顷，提高了休闲绿地数量和分布的均匀程度，使市民出门500米就有休闲绿地，基本满足邹城市居民日常游憩需求。邹城市郊区建有6处森林公园，其中1处国家级森林公园、2处省级森林公园、3处市级森林公园，总面积5821.2公顷。自创建国家森林城市以来，邹城市完成对</w:t>
            </w:r>
            <w:r>
              <w:rPr>
                <w:rFonts w:hint="eastAsia" w:ascii="Times New Roman" w:hAnsi="Times New Roman" w:eastAsia="华文宋体" w:cs="Times New Roman"/>
                <w:bCs/>
                <w:color w:val="C00000"/>
                <w:szCs w:val="21"/>
                <w:lang w:val="en-US" w:eastAsia="zh-CN"/>
              </w:rPr>
              <w:t>山东</w:t>
            </w:r>
            <w:r>
              <w:rPr>
                <w:rFonts w:ascii="Times New Roman" w:hAnsi="Times New Roman" w:eastAsia="华文宋体" w:cs="Times New Roman"/>
                <w:bCs/>
                <w:color w:val="C00000"/>
                <w:szCs w:val="21"/>
              </w:rPr>
              <w:t>峄山国家森林公园</w:t>
            </w:r>
            <w:r>
              <w:rPr>
                <w:rFonts w:ascii="Times New Roman" w:hAnsi="Times New Roman" w:eastAsia="华文宋体" w:cs="Times New Roman"/>
                <w:bCs/>
                <w:szCs w:val="21"/>
              </w:rPr>
              <w:t>和凤凰山省级森林公园提升及将凫山森林公园晋升为市级森林公园；郊区建有7处湿地公园，其中有</w:t>
            </w:r>
            <w:r>
              <w:rPr>
                <w:rFonts w:hint="eastAsia" w:ascii="Times New Roman" w:hAnsi="Times New Roman" w:eastAsia="华文宋体" w:cs="Times New Roman"/>
                <w:bCs/>
                <w:color w:val="C00000"/>
                <w:szCs w:val="21"/>
                <w:lang w:val="en-US" w:eastAsia="zh-CN"/>
              </w:rPr>
              <w:t>山东邹城</w:t>
            </w:r>
            <w:r>
              <w:rPr>
                <w:rFonts w:ascii="Times New Roman" w:hAnsi="Times New Roman" w:eastAsia="华文宋体" w:cs="Times New Roman"/>
                <w:bCs/>
                <w:color w:val="C00000"/>
                <w:szCs w:val="21"/>
              </w:rPr>
              <w:t>太平国家湿地公园</w:t>
            </w:r>
            <w:r>
              <w:rPr>
                <w:rFonts w:ascii="Times New Roman" w:hAnsi="Times New Roman" w:eastAsia="华文宋体" w:cs="Times New Roman"/>
                <w:bCs/>
                <w:szCs w:val="21"/>
              </w:rPr>
              <w:t>、北宿省级湿地公园、香城省级湿地公园、</w:t>
            </w:r>
            <w:r>
              <w:rPr>
                <w:rFonts w:ascii="Times New Roman" w:hAnsi="Times New Roman" w:eastAsia="华文宋体" w:cs="Times New Roman"/>
                <w:bCs/>
                <w:color w:val="C00000"/>
                <w:szCs w:val="21"/>
              </w:rPr>
              <w:t>城</w:t>
            </w:r>
            <w:r>
              <w:rPr>
                <w:rFonts w:hint="eastAsia" w:ascii="Times New Roman" w:hAnsi="Times New Roman" w:eastAsia="华文宋体" w:cs="Times New Roman"/>
                <w:bCs/>
                <w:color w:val="C00000"/>
                <w:szCs w:val="21"/>
                <w:lang w:val="en-US" w:eastAsia="zh-CN"/>
              </w:rPr>
              <w:t>前</w:t>
            </w:r>
            <w:r>
              <w:rPr>
                <w:rFonts w:ascii="Times New Roman" w:hAnsi="Times New Roman" w:eastAsia="华文宋体" w:cs="Times New Roman"/>
                <w:bCs/>
                <w:color w:val="C00000"/>
                <w:szCs w:val="21"/>
              </w:rPr>
              <w:t>蓝陵省级湿地公园</w:t>
            </w:r>
            <w:r>
              <w:rPr>
                <w:rFonts w:ascii="Times New Roman" w:hAnsi="Times New Roman" w:eastAsia="华文宋体" w:cs="Times New Roman"/>
                <w:bCs/>
                <w:szCs w:val="21"/>
              </w:rPr>
              <w:t>、孔家河市级湿地公园、上九山市级湿地公园、匡衡湖市级湿地公园，总面积3853.66公顷。</w:t>
            </w:r>
          </w:p>
          <w:p>
            <w:pPr>
              <w:pStyle w:val="19"/>
              <w:ind w:firstLine="0" w:firstLineChars="0"/>
              <w:rPr>
                <w:rFonts w:ascii="Times New Roman" w:hAnsi="Times New Roman" w:eastAsia="华文宋体"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10</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村屯绿化</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村旁、路旁、水旁、宅旁基本绿化，集中居住型村庄林木绿化率达30%，分散居住型村庄达15%以上。</w:t>
            </w:r>
          </w:p>
        </w:tc>
        <w:tc>
          <w:tcPr>
            <w:tcW w:w="6271" w:type="dxa"/>
            <w:vAlign w:val="center"/>
          </w:tcPr>
          <w:p>
            <w:pPr>
              <w:rPr>
                <w:rFonts w:ascii="Times New Roman" w:hAnsi="Times New Roman" w:eastAsia="华文宋体" w:cs="Times New Roman"/>
                <w:bCs/>
                <w:szCs w:val="21"/>
              </w:rPr>
            </w:pPr>
            <w:r>
              <w:rPr>
                <w:rFonts w:ascii="Times New Roman" w:hAnsi="Times New Roman" w:eastAsia="华文宋体" w:cs="Times New Roman"/>
                <w:bCs/>
                <w:szCs w:val="21"/>
              </w:rPr>
              <w:t>达标。邹城市现建有6个省级美丽乡村示范村及4个济宁市美丽乡村示范片区、6个济宁市美丽乡村示范村。邹城市村庄类型为集中型居住，至2017年底邹城市村庄面积</w:t>
            </w:r>
            <w:r>
              <w:rPr>
                <w:rFonts w:ascii="Times New Roman" w:hAnsi="Times New Roman" w:eastAsia="华文宋体" w:cs="Times New Roman"/>
                <w:bCs/>
                <w:kern w:val="0"/>
                <w:szCs w:val="21"/>
                <w:lang w:bidi="ar"/>
              </w:rPr>
              <w:t>13901.23</w:t>
            </w:r>
            <w:r>
              <w:rPr>
                <w:rFonts w:ascii="Times New Roman" w:hAnsi="Times New Roman" w:eastAsia="华文宋体" w:cs="Times New Roman"/>
                <w:bCs/>
                <w:szCs w:val="21"/>
              </w:rPr>
              <w:t>公顷，林木绿化面积</w:t>
            </w:r>
            <w:r>
              <w:rPr>
                <w:rFonts w:ascii="Times New Roman" w:hAnsi="Times New Roman" w:eastAsia="华文宋体" w:cs="Times New Roman"/>
                <w:bCs/>
                <w:kern w:val="0"/>
                <w:szCs w:val="21"/>
                <w:lang w:bidi="ar"/>
              </w:rPr>
              <w:t>4758.42</w:t>
            </w:r>
            <w:r>
              <w:rPr>
                <w:rFonts w:ascii="Times New Roman" w:hAnsi="Times New Roman" w:eastAsia="华文宋体" w:cs="Times New Roman"/>
                <w:bCs/>
                <w:szCs w:val="21"/>
              </w:rPr>
              <w:t>公顷，村庄林木绿化率为</w:t>
            </w:r>
            <w:r>
              <w:rPr>
                <w:rFonts w:ascii="Times New Roman" w:hAnsi="Times New Roman" w:eastAsia="华文宋体" w:cs="Times New Roman"/>
                <w:bCs/>
                <w:kern w:val="0"/>
                <w:szCs w:val="21"/>
                <w:lang w:bidi="ar"/>
              </w:rPr>
              <w:t>34.23</w:t>
            </w:r>
            <w:r>
              <w:rPr>
                <w:rFonts w:ascii="Times New Roman" w:hAnsi="Times New Roman" w:eastAsia="华文宋体" w:cs="Times New Roman"/>
                <w:bCs/>
                <w:szCs w:val="21"/>
              </w:rPr>
              <w:t>%。</w:t>
            </w:r>
          </w:p>
          <w:p>
            <w:pPr>
              <w:jc w:val="left"/>
              <w:rPr>
                <w:rFonts w:ascii="Times New Roman" w:hAnsi="Times New Roman" w:eastAsia="华文宋体" w:cs="Times New Roman"/>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11</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森林生态廊道建设</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主要森林、湿地等生态区域之间建有贯通性的森林生态廊道，宽度能够满足本地区关键物种迁徙需要。</w:t>
            </w:r>
          </w:p>
        </w:tc>
        <w:tc>
          <w:tcPr>
            <w:tcW w:w="6271" w:type="dxa"/>
            <w:vAlign w:val="center"/>
          </w:tcPr>
          <w:p>
            <w:pPr>
              <w:pStyle w:val="22"/>
              <w:ind w:firstLine="0" w:firstLineChars="0"/>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邹城市已建成6处森林公园，其中1处国家级森林公园，2处省级森林公园，3处市级森林公园；建成8处湿地公园，其中国家级1处，省级3处，市级4处。目前，在市域范围内形成了林路相依、贯通的森林生态廊道网络，类型包括道路廊道、水系廊道等，</w:t>
            </w:r>
            <w:r>
              <w:rPr>
                <w:rFonts w:ascii="Times New Roman" w:hAnsi="Times New Roman" w:eastAsia="华文宋体" w:cs="Times New Roman"/>
                <w:bCs/>
                <w:color w:val="auto"/>
                <w:kern w:val="0"/>
                <w:szCs w:val="21"/>
              </w:rPr>
              <w:t>总长度为529.40千米，总面积为1302.50公顷。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color w:val="000000" w:themeColor="text1"/>
                <w:kern w:val="0"/>
                <w:szCs w:val="21"/>
                <w14:textFill>
                  <w14:solidFill>
                    <w14:schemeClr w14:val="tx1"/>
                  </w14:solidFill>
                </w14:textFill>
              </w:rPr>
            </w:pPr>
            <w:r>
              <w:rPr>
                <w:rFonts w:ascii="Times New Roman" w:hAnsi="Times New Roman" w:eastAsia="华文宋体" w:cs="Times New Roman"/>
                <w:bCs/>
                <w:color w:val="000000" w:themeColor="text1"/>
                <w:kern w:val="0"/>
                <w:szCs w:val="21"/>
                <w14:textFill>
                  <w14:solidFill>
                    <w14:schemeClr w14:val="tx1"/>
                  </w14:solidFill>
                </w14:textFill>
              </w:rPr>
              <w:t>12</w:t>
            </w:r>
          </w:p>
        </w:tc>
        <w:tc>
          <w:tcPr>
            <w:tcW w:w="921" w:type="dxa"/>
            <w:vMerge w:val="continue"/>
            <w:vAlign w:val="center"/>
          </w:tcPr>
          <w:p>
            <w:pPr>
              <w:jc w:val="center"/>
              <w:rPr>
                <w:rFonts w:ascii="Times New Roman" w:hAnsi="Times New Roman" w:eastAsia="华文宋体" w:cs="Times New Roman"/>
                <w:bCs/>
                <w:color w:val="000000" w:themeColor="text1"/>
                <w:kern w:val="0"/>
                <w:szCs w:val="21"/>
                <w14:textFill>
                  <w14:solidFill>
                    <w14:schemeClr w14:val="tx1"/>
                  </w14:solidFill>
                </w14:textFill>
              </w:rPr>
            </w:pPr>
          </w:p>
        </w:tc>
        <w:tc>
          <w:tcPr>
            <w:tcW w:w="2770" w:type="dxa"/>
            <w:vAlign w:val="center"/>
          </w:tcPr>
          <w:p>
            <w:pPr>
              <w:jc w:val="center"/>
              <w:rPr>
                <w:rFonts w:ascii="Times New Roman" w:hAnsi="Times New Roman" w:eastAsia="华文宋体" w:cs="Times New Roman"/>
                <w:bCs/>
                <w:color w:val="000000" w:themeColor="text1"/>
                <w:kern w:val="0"/>
                <w:szCs w:val="21"/>
                <w14:textFill>
                  <w14:solidFill>
                    <w14:schemeClr w14:val="tx1"/>
                  </w14:solidFill>
                </w14:textFill>
              </w:rPr>
            </w:pPr>
            <w:r>
              <w:rPr>
                <w:rFonts w:ascii="Times New Roman" w:hAnsi="Times New Roman" w:eastAsia="华文宋体" w:cs="Times New Roman"/>
                <w:bCs/>
                <w:color w:val="000000" w:themeColor="text1"/>
                <w:kern w:val="0"/>
                <w:szCs w:val="21"/>
                <w14:textFill>
                  <w14:solidFill>
                    <w14:schemeClr w14:val="tx1"/>
                  </w14:solidFill>
                </w14:textFill>
              </w:rPr>
              <w:t>水岸绿化</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江、河、湖、海、库等水体沿岸注重自然生态保护，水岸林木绿化率达80%以上。在不影响行洪安全的前提下，采用近自然的水岸绿化模式，形成城市特有的水源保护林和风景带。</w:t>
            </w:r>
          </w:p>
        </w:tc>
        <w:tc>
          <w:tcPr>
            <w:tcW w:w="6271"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达标。目前，全市水系可绿化总长973.76</w:t>
            </w:r>
            <w:r>
              <w:rPr>
                <w:rFonts w:hint="eastAsia" w:ascii="Times New Roman" w:hAnsi="Times New Roman" w:eastAsia="华文宋体" w:cs="Times New Roman"/>
                <w:bCs/>
                <w:kern w:val="0"/>
                <w:szCs w:val="21"/>
                <w:lang w:val="en-US" w:eastAsia="zh-CN"/>
              </w:rPr>
              <w:t>千米</w:t>
            </w:r>
            <w:r>
              <w:rPr>
                <w:rFonts w:ascii="Times New Roman" w:hAnsi="Times New Roman" w:eastAsia="华文宋体" w:cs="Times New Roman"/>
                <w:bCs/>
                <w:kern w:val="0"/>
                <w:szCs w:val="21"/>
              </w:rPr>
              <w:t>，已绿化长度929.99</w:t>
            </w:r>
            <w:r>
              <w:rPr>
                <w:rFonts w:hint="eastAsia" w:ascii="Times New Roman" w:hAnsi="Times New Roman" w:eastAsia="华文宋体" w:cs="Times New Roman"/>
                <w:bCs/>
                <w:kern w:val="0"/>
                <w:szCs w:val="21"/>
                <w:lang w:val="en-US" w:eastAsia="zh-CN"/>
              </w:rPr>
              <w:t>千米</w:t>
            </w:r>
            <w:r>
              <w:rPr>
                <w:rFonts w:ascii="Times New Roman" w:hAnsi="Times New Roman" w:eastAsia="华文宋体" w:cs="Times New Roman"/>
                <w:bCs/>
                <w:kern w:val="0"/>
                <w:szCs w:val="21"/>
              </w:rPr>
              <w:t>，林木绿化率为95.51%。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5"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13</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道路绿化</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公路、铁路等道路绿化注重与周边自然、人文景观的结合与协调，因地制宜开展乔木、灌木、花草等多种形式的绿化，林木绿化率达80%以上，形成绿色景观通道。</w:t>
            </w:r>
          </w:p>
        </w:tc>
        <w:tc>
          <w:tcPr>
            <w:tcW w:w="6271" w:type="dxa"/>
            <w:vAlign w:val="center"/>
          </w:tcPr>
          <w:p>
            <w:pPr>
              <w:pStyle w:val="22"/>
              <w:ind w:firstLine="0" w:firstLineChars="0"/>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据统计，邹城市公路总里程达到2082.90千米，宜绿化总里程1934.23千米，已绿化总里程1881.10千米，林木绿化率达97.25%。其中铁路31.50千米，宜绿化24.40千米，已绿化23.90千米，绿化率97.95%；高速公路31.60千米，宜绿化30.40千米，已绿化30.30千米，绿化率99.67%；国道30.40千米，宜绿化20.50千米，已绿化20.50千米，绿化率100.00%；省道127.00千米，宜绿化91.03千米，已绿化89.30千米，绿化率98.10%；县乡道路377.80千米，宜绿化362.70千米，已绿化359.20千米，绿化率99.04%；村道1484.60千米，宜绿化1405.20千米，已绿化1357.90千米，绿化率96.63%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14</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农田林网建设</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城市郊区农田林网建设按照国家林业局《生态公益林建设技术规程》要求达标。</w:t>
            </w:r>
          </w:p>
        </w:tc>
        <w:tc>
          <w:tcPr>
            <w:tcW w:w="6271"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达标。截至2017年底，邹城市已完成林网建设面积33540.00</w:t>
            </w:r>
            <w:r>
              <w:rPr>
                <w:rFonts w:hint="eastAsia" w:ascii="Times New Roman" w:hAnsi="Times New Roman" w:eastAsia="华文宋体" w:cs="Times New Roman"/>
                <w:bCs/>
                <w:kern w:val="0"/>
                <w:szCs w:val="21"/>
                <w:lang w:val="en-US" w:eastAsia="zh-CN"/>
              </w:rPr>
              <w:t>公顷</w:t>
            </w:r>
            <w:r>
              <w:rPr>
                <w:rFonts w:ascii="Times New Roman" w:hAnsi="Times New Roman" w:eastAsia="华文宋体" w:cs="Times New Roman"/>
                <w:bCs/>
                <w:kern w:val="0"/>
                <w:szCs w:val="21"/>
              </w:rPr>
              <w:t>，农田林网控制率达100.00%，按照国家林业局GB/T 18337.3的标准。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15</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防护隔离林带建设</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城市周边、城市组团之间、城市功能分区和过渡区建有生态防护隔离带，减缓城市热岛效应、净化生态功能显著。</w:t>
            </w:r>
          </w:p>
        </w:tc>
        <w:tc>
          <w:tcPr>
            <w:tcW w:w="6271" w:type="dxa"/>
            <w:vAlign w:val="center"/>
          </w:tcPr>
          <w:p>
            <w:pPr>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邹城市在城市周边，各级森林公园、湿地公园等形成了生态隔离带，通过市区大型带状绿地、风貌带、风景林地、城市绿地等有机组合，与生态隔离带形成城市完整的生态骨架，分隔城市片区、促进城市空气交换流通，调节城市生态环境，提高城市品位，增强社会经济发展竞争力。这些防护隔离带总面积达782.23公顷，在改善景观、调节小气候、降低噪音、减轻大气污染、缓解城市热岛效应等方面发挥了显著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16</w:t>
            </w:r>
          </w:p>
        </w:tc>
        <w:tc>
          <w:tcPr>
            <w:tcW w:w="921" w:type="dxa"/>
            <w:vMerge w:val="restart"/>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市</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森</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林</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健</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康</w:t>
            </w: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乡土树种使用</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植物以乡土树种为主，乡土树种数量占城市绿化树种使用数量的80%以上。</w:t>
            </w:r>
          </w:p>
        </w:tc>
        <w:tc>
          <w:tcPr>
            <w:tcW w:w="6271" w:type="dxa"/>
            <w:vAlign w:val="center"/>
          </w:tcPr>
          <w:p>
            <w:pPr>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达标。据调查统计，邹城市应用树种数量153.34万株，其中使用乡土树种130.28万株，乡土树种使用率达到84.96%。邹城市造林绿化主要树种包括法桐、白蜡、栾树、国槐、柳树、</w:t>
            </w:r>
            <w:r>
              <w:rPr>
                <w:rFonts w:ascii="Times New Roman" w:hAnsi="Times New Roman" w:eastAsia="华文宋体" w:cs="Times New Roman"/>
                <w:bCs/>
                <w:color w:val="C00000"/>
                <w:kern w:val="0"/>
                <w:szCs w:val="21"/>
              </w:rPr>
              <w:t>皂</w:t>
            </w:r>
            <w:r>
              <w:rPr>
                <w:rFonts w:hint="eastAsia" w:ascii="Times New Roman" w:hAnsi="Times New Roman" w:eastAsia="华文宋体" w:cs="Times New Roman"/>
                <w:bCs/>
                <w:color w:val="C00000"/>
                <w:kern w:val="0"/>
                <w:szCs w:val="21"/>
                <w:lang w:val="en-US" w:eastAsia="zh-CN"/>
              </w:rPr>
              <w:t>荚</w:t>
            </w:r>
            <w:r>
              <w:rPr>
                <w:rFonts w:ascii="Times New Roman" w:hAnsi="Times New Roman" w:eastAsia="华文宋体" w:cs="Times New Roman"/>
                <w:bCs/>
                <w:kern w:val="0"/>
                <w:szCs w:val="21"/>
              </w:rPr>
              <w:t>、刺槐、银杏、泡桐等，各镇街乡土树种数量占城市绿化树种使用数量均达到80%以上。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17</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树种丰富度</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城市森林树种丰富多样，城区某一个树种的栽植数量不超过树木总量的20%。</w:t>
            </w:r>
          </w:p>
        </w:tc>
        <w:tc>
          <w:tcPr>
            <w:tcW w:w="6271"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达标。邹城市绿化主要应用的</w:t>
            </w:r>
            <w:r>
              <w:rPr>
                <w:rFonts w:ascii="Times New Roman" w:hAnsi="Times New Roman" w:eastAsia="华文宋体" w:cs="Times New Roman"/>
                <w:bCs/>
                <w:color w:val="FF0000"/>
                <w:kern w:val="0"/>
                <w:szCs w:val="21"/>
              </w:rPr>
              <w:t>树种30余种</w:t>
            </w:r>
            <w:r>
              <w:rPr>
                <w:rFonts w:ascii="Times New Roman" w:hAnsi="Times New Roman" w:eastAsia="华文宋体" w:cs="Times New Roman"/>
                <w:bCs/>
                <w:kern w:val="0"/>
                <w:szCs w:val="21"/>
              </w:rPr>
              <w:t>，其中使用比例较高的有法桐（13.21%）</w:t>
            </w:r>
            <w:r>
              <w:rPr>
                <w:rFonts w:hint="eastAsia" w:ascii="Times New Roman" w:hAnsi="Times New Roman" w:eastAsia="华文宋体" w:cs="Times New Roman"/>
                <w:bCs/>
                <w:kern w:val="0"/>
                <w:szCs w:val="21"/>
                <w:lang w:eastAsia="zh-CN"/>
              </w:rPr>
              <w:t>、</w:t>
            </w:r>
            <w:r>
              <w:rPr>
                <w:rFonts w:ascii="Times New Roman" w:hAnsi="Times New Roman" w:eastAsia="华文宋体" w:cs="Times New Roman"/>
                <w:bCs/>
                <w:kern w:val="0"/>
                <w:szCs w:val="21"/>
              </w:rPr>
              <w:t>白蜡（9.76%）</w:t>
            </w:r>
            <w:r>
              <w:rPr>
                <w:rFonts w:hint="eastAsia" w:ascii="Times New Roman" w:hAnsi="Times New Roman" w:eastAsia="华文宋体" w:cs="Times New Roman"/>
                <w:bCs/>
                <w:kern w:val="0"/>
                <w:szCs w:val="21"/>
                <w:lang w:eastAsia="zh-CN"/>
              </w:rPr>
              <w:t>、</w:t>
            </w:r>
            <w:r>
              <w:rPr>
                <w:rFonts w:ascii="Times New Roman" w:hAnsi="Times New Roman" w:eastAsia="华文宋体" w:cs="Times New Roman"/>
                <w:bCs/>
                <w:kern w:val="0"/>
                <w:szCs w:val="21"/>
              </w:rPr>
              <w:t>柳树（8.71%）</w:t>
            </w:r>
            <w:r>
              <w:rPr>
                <w:rFonts w:hint="eastAsia" w:ascii="Times New Roman" w:hAnsi="Times New Roman" w:eastAsia="华文宋体" w:cs="Times New Roman"/>
                <w:bCs/>
                <w:kern w:val="0"/>
                <w:szCs w:val="21"/>
                <w:lang w:eastAsia="zh-CN"/>
              </w:rPr>
              <w:t>、</w:t>
            </w:r>
            <w:r>
              <w:rPr>
                <w:rFonts w:ascii="Times New Roman" w:hAnsi="Times New Roman" w:eastAsia="华文宋体" w:cs="Times New Roman"/>
                <w:bCs/>
                <w:kern w:val="0"/>
                <w:szCs w:val="21"/>
              </w:rPr>
              <w:t>栾树（7.18%）等。城区中主要栽植树种的数量均不超过总数量的20%。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18</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郊区森林自然度</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郊区森林质量不断提高，森林植物群落演替自然，其自然度不低于0.5。</w:t>
            </w:r>
          </w:p>
        </w:tc>
        <w:tc>
          <w:tcPr>
            <w:tcW w:w="6271"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邹城市有林地面积为51869.30公顷，疏林地123.30公顷，灌木林地269.23公顷，未成林地2173.58公顷，苗圃地1383.26公顷，无立木林地45.93公顷，宜林地954.2公顷。其自然度分别为0.483、0.001、0.002、0.017、0.010、0.000、0.000，通过加权平均计算得到邹城市森林自然度为</w:t>
            </w:r>
            <w:r>
              <w:rPr>
                <w:rFonts w:ascii="Times New Roman" w:hAnsi="Times New Roman" w:eastAsia="华文宋体" w:cs="Times New Roman"/>
                <w:bCs/>
                <w:color w:val="000000" w:themeColor="text1"/>
                <w:kern w:val="0"/>
                <w:szCs w:val="21"/>
                <w14:textFill>
                  <w14:solidFill>
                    <w14:schemeClr w14:val="tx1"/>
                  </w14:solidFill>
                </w14:textFill>
              </w:rPr>
              <w:t>0.513</w:t>
            </w:r>
            <w:r>
              <w:rPr>
                <w:rFonts w:ascii="Times New Roman" w:hAnsi="Times New Roman" w:eastAsia="华文宋体" w:cs="Times New Roman"/>
                <w:bCs/>
                <w:kern w:val="0"/>
                <w:szCs w:val="21"/>
              </w:rPr>
              <w:t>，不低于0.5。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19</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造林苗木使用</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城市森林营造应以苗圃培育的苗木为主，因地制宜使用大、中、小苗和优质苗木。禁止从农村和山上移植古树、大树进城。</w:t>
            </w:r>
          </w:p>
        </w:tc>
        <w:tc>
          <w:tcPr>
            <w:tcW w:w="6271"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目前邹城市辖区内常年培育造林绿化苗木规模较大的企业达到22家，培育苗木总量2840.00万株，其中用于本市绿化苗木总量为1637.00万株，苗木自给率超过80.00%，培育主要苗木有法桐、栾树、白蜡、国槐、皂荚、刺槐、杨树、柿树、柳树、大叶女贞、石楠、核桃、大樱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20</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森林保护</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自创建以来，没有发生严重非法侵占林地、湿地、破坏森林资源、滥捕乱猎野生动物等重大案件。</w:t>
            </w:r>
          </w:p>
        </w:tc>
        <w:tc>
          <w:tcPr>
            <w:tcW w:w="6271"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森林防火方面，严格按照“预防为主，积极消灭”的森林防火方针，建立健全了防扑火预案，组建专业护林员队伍和专业森林消防队伍，开展森林防火宣传、发放防火宣传小册子和防火宣传单，建有森林防火监控自动预警系统，多年森林火灾受害率都控制在0.5‰以下，防火队伍建设和防火墙建设在全省处于领先地位。森林病虫害防治方面，认真落实林业有害生物防控属地管理责任，层层签订防治责任书；加强森林植物产地检疫和调运检疫工作，建立和完善了虫情测报点，健全监测预警网络，提升了邹城市林业有害生物综合防治能力。同时加大林业执法力度，在市域范围内组织开展打击破坏野生动物资源违法犯罪活动专项行动。组织相关部门联合执法行动，对乱砍滥伐及非法占用林地等违法行为进行严厉查处。通过各种执法活动的开展，有力</w:t>
            </w:r>
            <w:r>
              <w:rPr>
                <w:rFonts w:hint="eastAsia" w:ascii="Times New Roman" w:hAnsi="Times New Roman" w:eastAsia="华文宋体" w:cs="Times New Roman"/>
                <w:bCs/>
                <w:color w:val="C00000"/>
                <w:kern w:val="0"/>
                <w:szCs w:val="21"/>
                <w:lang w:val="en-US" w:eastAsia="zh-CN"/>
              </w:rPr>
              <w:t>了</w:t>
            </w:r>
            <w:r>
              <w:rPr>
                <w:rFonts w:ascii="Times New Roman" w:hAnsi="Times New Roman" w:eastAsia="华文宋体" w:cs="Times New Roman"/>
                <w:bCs/>
                <w:kern w:val="0"/>
                <w:szCs w:val="21"/>
              </w:rPr>
              <w:t>打击各类破坏森林资源的行为，有效保护了全市森林资源，巩固了林业发展成果。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21</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生物多样性保护</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注重保护和选用留鸟、引鸟树种植物以及其他有利于增加生物多样性的乡土植物，保护各种野生动植物，构建生态廊道，营造良好的野生动物生活、栖息自然生境。</w:t>
            </w:r>
          </w:p>
        </w:tc>
        <w:tc>
          <w:tcPr>
            <w:tcW w:w="6271" w:type="dxa"/>
            <w:vAlign w:val="center"/>
          </w:tcPr>
          <w:p>
            <w:pPr>
              <w:rPr>
                <w:rFonts w:ascii="Times New Roman" w:hAnsi="Times New Roman" w:eastAsia="华文宋体" w:cs="Times New Roman"/>
                <w:bCs/>
                <w:kern w:val="0"/>
                <w:szCs w:val="21"/>
              </w:rPr>
            </w:pPr>
            <w:r>
              <w:rPr>
                <w:rFonts w:ascii="Times New Roman" w:hAnsi="Times New Roman" w:eastAsia="华文宋体" w:cs="Times New Roman"/>
                <w:bCs/>
                <w:kern w:val="0"/>
                <w:szCs w:val="21"/>
              </w:rPr>
              <w:t xml:space="preserve">达标。邹城地处暖温带、半湿润区，属华北生物区系，众多的植被类型，为邹城市生物资源多样性和丰富性提供了优越的自然条件。 </w:t>
            </w:r>
          </w:p>
          <w:p>
            <w:pPr>
              <w:rPr>
                <w:rFonts w:hint="eastAsia" w:ascii="Times New Roman" w:hAnsi="Times New Roman" w:eastAsia="华文宋体" w:cs="Times New Roman"/>
                <w:bCs/>
                <w:kern w:val="0"/>
                <w:szCs w:val="21"/>
                <w:lang w:eastAsia="zh-CN"/>
              </w:rPr>
            </w:pPr>
            <w:r>
              <w:rPr>
                <w:rFonts w:ascii="Times New Roman" w:hAnsi="Times New Roman" w:eastAsia="华文宋体" w:cs="Times New Roman"/>
                <w:bCs/>
                <w:kern w:val="0"/>
                <w:szCs w:val="21"/>
              </w:rPr>
              <w:t>自创建国家森林城市以来，邹城市从保护自然生态和</w:t>
            </w:r>
            <w:r>
              <w:rPr>
                <w:rFonts w:ascii="Times New Roman" w:hAnsi="Times New Roman" w:eastAsia="华文宋体" w:cs="Times New Roman"/>
                <w:bCs/>
                <w:color w:val="C00000"/>
                <w:kern w:val="0"/>
                <w:szCs w:val="21"/>
              </w:rPr>
              <w:t>物种多样性的角度</w:t>
            </w:r>
            <w:r>
              <w:rPr>
                <w:rFonts w:ascii="Times New Roman" w:hAnsi="Times New Roman" w:eastAsia="华文宋体" w:cs="Times New Roman"/>
                <w:bCs/>
                <w:kern w:val="0"/>
                <w:szCs w:val="21"/>
              </w:rPr>
              <w:t>，选用乡土树种进行绿化，适地适树、科学配植；并开展了一系列野生动物保护专项活动，为野生动植物生活、栖息提供了良好的自然生境。截至目前，邹城全市拥有市级自然保护区3个（峄山自然保护区、十八盘自然保护区、凫山生态自然保护区）；有国家级湿地公园（试点）1个（山东太平国家湿地公园）、省级湿地公园3个（香城湿地公园、北宿湿地公园、蓝陵湿地公园）、市级湿地公园4个（千泉湿地公园、孔家河湿地公园、上九山湿地公园、匡衡湖湿地公园）</w:t>
            </w:r>
            <w:r>
              <w:rPr>
                <w:rFonts w:hint="eastAsia" w:ascii="Times New Roman" w:hAnsi="Times New Roman" w:eastAsia="华文宋体" w:cs="Times New Roman"/>
                <w:bCs/>
                <w:kern w:val="0"/>
                <w:szCs w:val="21"/>
                <w:lang w:eastAsia="zh-CN"/>
              </w:rPr>
              <w:t>，</w:t>
            </w:r>
            <w:r>
              <w:rPr>
                <w:rFonts w:ascii="Times New Roman" w:hAnsi="Times New Roman" w:eastAsia="华文宋体" w:cs="Times New Roman"/>
                <w:bCs/>
                <w:kern w:val="0"/>
                <w:szCs w:val="21"/>
              </w:rPr>
              <w:t>其中湿地公园总面积为5053.66公顷，占总域面积的3.13%。各类保护区和湿地公园的建设，有效地保护了邹城市森林生态资源、湿地资源、古老植物群落和珍稀动植物群落，并形成了独特的人文景观资源。截至目前，邹城全市的植物和野生动物保护良好，种类繁多</w:t>
            </w:r>
            <w:r>
              <w:rPr>
                <w:rFonts w:hint="eastAsia" w:ascii="Times New Roman" w:hAnsi="Times New Roman" w:eastAsia="华文宋体" w:cs="Times New Roman"/>
                <w:bCs/>
                <w:kern w:val="0"/>
                <w:szCs w:val="21"/>
                <w:lang w:eastAsia="zh-CN"/>
              </w:rPr>
              <w:t>，</w:t>
            </w:r>
            <w:r>
              <w:rPr>
                <w:rFonts w:ascii="Times New Roman" w:hAnsi="Times New Roman" w:eastAsia="华文宋体" w:cs="Times New Roman"/>
                <w:bCs/>
                <w:kern w:val="0"/>
                <w:szCs w:val="21"/>
              </w:rPr>
              <w:t>其中</w:t>
            </w:r>
            <w:r>
              <w:rPr>
                <w:rFonts w:hint="eastAsia" w:ascii="Times New Roman" w:hAnsi="Times New Roman" w:eastAsia="华文宋体" w:cs="Times New Roman"/>
                <w:bCs/>
                <w:color w:val="FF0000"/>
                <w:kern w:val="0"/>
                <w:szCs w:val="21"/>
                <w:lang w:val="en-US" w:eastAsia="zh-CN"/>
              </w:rPr>
              <w:t>发现极危物种青头潜鸭、近危物种</w:t>
            </w:r>
            <w:r>
              <w:rPr>
                <w:rFonts w:hint="eastAsia" w:ascii="Times New Roman" w:hAnsi="Times New Roman" w:eastAsia="华文宋体" w:cs="Times New Roman"/>
                <w:bCs/>
                <w:color w:val="C00000"/>
                <w:kern w:val="0"/>
                <w:szCs w:val="21"/>
                <w:lang w:val="en-US" w:eastAsia="zh-CN"/>
              </w:rPr>
              <w:t>震旦鸦雀；</w:t>
            </w:r>
            <w:r>
              <w:rPr>
                <w:rFonts w:ascii="Times New Roman" w:hAnsi="Times New Roman" w:eastAsia="华文宋体" w:cs="Times New Roman"/>
                <w:bCs/>
                <w:kern w:val="0"/>
                <w:szCs w:val="21"/>
              </w:rPr>
              <w:t>国家重点保护野生动物 11 种，</w:t>
            </w:r>
            <w:r>
              <w:rPr>
                <w:rFonts w:ascii="Times New Roman" w:hAnsi="Times New Roman" w:eastAsia="华文宋体" w:cs="Times New Roman"/>
                <w:bCs/>
                <w:color w:val="C00000"/>
                <w:kern w:val="0"/>
                <w:szCs w:val="21"/>
              </w:rPr>
              <w:t>主要为</w:t>
            </w:r>
            <w:r>
              <w:rPr>
                <w:rFonts w:ascii="Times New Roman" w:hAnsi="Times New Roman" w:eastAsia="华文宋体" w:cs="Times New Roman"/>
                <w:bCs/>
                <w:kern w:val="0"/>
                <w:szCs w:val="21"/>
              </w:rPr>
              <w:t>桃花水母、小苇鳽、鸳鸯、苍鹰、雀鹰、白尾鹞、白头鹞、游隼、红隼、燕隼、红脚隼等；国家级保护植物 2 种，分别为银杏、野大豆；山东省珍稀植物6 种，分别为厚壳树、白花泡桐、楸叶泡桐、陕西荚蒾、美丽茶藨子、黄檀。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highlight w:val="yellow"/>
              </w:rPr>
            </w:pPr>
            <w:r>
              <w:rPr>
                <w:rFonts w:ascii="Times New Roman" w:hAnsi="Times New Roman" w:eastAsia="华文宋体" w:cs="Times New Roman"/>
                <w:bCs/>
                <w:kern w:val="0"/>
                <w:szCs w:val="21"/>
              </w:rPr>
              <w:t>22</w:t>
            </w:r>
          </w:p>
        </w:tc>
        <w:tc>
          <w:tcPr>
            <w:tcW w:w="921" w:type="dxa"/>
            <w:vMerge w:val="continue"/>
            <w:vAlign w:val="center"/>
          </w:tcPr>
          <w:p>
            <w:pPr>
              <w:jc w:val="center"/>
              <w:rPr>
                <w:rFonts w:ascii="Times New Roman" w:hAnsi="Times New Roman" w:eastAsia="华文宋体" w:cs="Times New Roman"/>
                <w:bCs/>
                <w:kern w:val="0"/>
                <w:szCs w:val="21"/>
                <w:highlight w:val="yellow"/>
              </w:rPr>
            </w:pPr>
          </w:p>
        </w:tc>
        <w:tc>
          <w:tcPr>
            <w:tcW w:w="2770" w:type="dxa"/>
            <w:vAlign w:val="center"/>
          </w:tcPr>
          <w:p>
            <w:pPr>
              <w:jc w:val="center"/>
              <w:rPr>
                <w:rFonts w:ascii="Times New Roman" w:hAnsi="Times New Roman" w:eastAsia="华文宋体" w:cs="Times New Roman"/>
                <w:bCs/>
                <w:kern w:val="0"/>
                <w:szCs w:val="21"/>
                <w:highlight w:val="yellow"/>
              </w:rPr>
            </w:pPr>
            <w:r>
              <w:rPr>
                <w:rFonts w:ascii="Times New Roman" w:hAnsi="Times New Roman" w:eastAsia="华文宋体" w:cs="Times New Roman"/>
                <w:bCs/>
                <w:kern w:val="0"/>
                <w:szCs w:val="21"/>
              </w:rPr>
              <w:t>林地土壤保育</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积极改善与保护城市森林土壤和湿地环境，尽量利用木质材料等有机覆盖物保育土壤，减少城市水土流失和粉尘侵害。</w:t>
            </w:r>
          </w:p>
        </w:tc>
        <w:tc>
          <w:tcPr>
            <w:tcW w:w="6271" w:type="dxa"/>
            <w:vAlign w:val="center"/>
          </w:tcPr>
          <w:p>
            <w:pPr>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自创建国家森林城市以来，邹城市在城市绿化建设中十分注重土壤环境改善，主要通过以下几方面工作加强林地土壤保育和湿地环境保护：一是充分利用城市绿化的枯枝败叶、修剪物、杂草等有机剩余物，作为林下和土壤覆盖物，保护土壤，并通过深耕整地、增施有机肥等措施，改善土壤理化性状</w:t>
            </w:r>
            <w:r>
              <w:rPr>
                <w:rFonts w:hint="eastAsia" w:ascii="Times New Roman" w:hAnsi="Times New Roman" w:eastAsia="华文宋体" w:cs="Times New Roman"/>
                <w:bCs/>
                <w:color w:val="C00000"/>
                <w:kern w:val="0"/>
                <w:szCs w:val="21"/>
                <w:lang w:eastAsia="zh-CN"/>
              </w:rPr>
              <w:t>；</w:t>
            </w:r>
            <w:r>
              <w:rPr>
                <w:rFonts w:ascii="Times New Roman" w:hAnsi="Times New Roman" w:eastAsia="华文宋体" w:cs="Times New Roman"/>
                <w:bCs/>
                <w:kern w:val="0"/>
                <w:szCs w:val="21"/>
              </w:rPr>
              <w:t>二是全市陆续开展水土保持治理项目——</w:t>
            </w:r>
            <w:r>
              <w:rPr>
                <w:rFonts w:ascii="Times New Roman" w:hAnsi="Times New Roman" w:eastAsia="华文宋体" w:cs="Times New Roman"/>
                <w:bCs/>
                <w:color w:val="C00000"/>
                <w:kern w:val="0"/>
                <w:szCs w:val="21"/>
              </w:rPr>
              <w:t>如</w:t>
            </w:r>
            <w:r>
              <w:rPr>
                <w:rFonts w:ascii="Times New Roman" w:hAnsi="Times New Roman" w:eastAsia="华文宋体" w:cs="Times New Roman"/>
                <w:bCs/>
                <w:kern w:val="0"/>
                <w:szCs w:val="21"/>
              </w:rPr>
              <w:t>石门山生态清洁型小流域综合治理工程、凤凰山生态清洁型小流域综合治理工程，加强流域内的生态治理，综合治理水土流失；三是开展林业生态修复与保护建设工程，通过退耕还林还果、荒山绿化等</w:t>
            </w:r>
            <w:r>
              <w:rPr>
                <w:rFonts w:hint="eastAsia" w:ascii="Times New Roman" w:hAnsi="Times New Roman" w:eastAsia="华文宋体" w:cs="Times New Roman"/>
                <w:bCs/>
                <w:color w:val="C00000"/>
                <w:kern w:val="0"/>
                <w:szCs w:val="21"/>
                <w:lang w:val="en-US" w:eastAsia="zh-CN"/>
              </w:rPr>
              <w:t>工程</w:t>
            </w:r>
            <w:r>
              <w:rPr>
                <w:rFonts w:ascii="Times New Roman" w:hAnsi="Times New Roman" w:eastAsia="华文宋体" w:cs="Times New Roman"/>
                <w:bCs/>
                <w:kern w:val="0"/>
                <w:szCs w:val="21"/>
              </w:rPr>
              <w:t xml:space="preserve">措施，提高林地土壤质量，减少水土流失和粉尘侵害。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23</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森林抚育与林木管理</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采取近自然的抚育管理方式，不搞过度的整齐划一和对植物进行过度修剪。</w:t>
            </w:r>
          </w:p>
        </w:tc>
        <w:tc>
          <w:tcPr>
            <w:tcW w:w="6271" w:type="dxa"/>
            <w:vAlign w:val="center"/>
          </w:tcPr>
          <w:p>
            <w:pPr>
              <w:spacing w:line="360" w:lineRule="auto"/>
              <w:ind w:firstLine="420" w:firstLineChars="200"/>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达标。创森期间，邹城市按照适度扩大森林覆盖，重点提升森林质量的总体思路，全面开展低质低效林改造，提高森林质量。2016-2018年，</w:t>
            </w:r>
            <w:r>
              <w:rPr>
                <w:rFonts w:ascii="Times New Roman" w:hAnsi="Times New Roman" w:eastAsia="华文宋体" w:cs="Times New Roman"/>
                <w:bCs/>
                <w:color w:val="FF0000"/>
                <w:kern w:val="0"/>
                <w:szCs w:val="21"/>
              </w:rPr>
              <w:t>邹城市共完成抚育森林面积11955.7公顷，其中2016年全市下达抚育计划面积4860.5公顷，完成5246.2公顷，完成百分比为107.9%；2017年计划抚育面积3575.1公顷，完成3927公顷，完成百分比109.8%；2018年计划抚育面积2449.2公顷，完成2782.5公顷，完成百分比113.6%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24</w:t>
            </w:r>
          </w:p>
        </w:tc>
        <w:tc>
          <w:tcPr>
            <w:tcW w:w="921" w:type="dxa"/>
            <w:vMerge w:val="restart"/>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市</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林</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业</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经</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济</w:t>
            </w: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生态旅游</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加强森林公园、湿地公园和自然保护区的基础设施建设，注重郊区乡村绿化、美化建设与</w:t>
            </w:r>
            <w:r>
              <w:rPr>
                <w:rFonts w:ascii="Times New Roman" w:hAnsi="Times New Roman" w:eastAsia="华文宋体" w:cs="Times New Roman"/>
                <w:bCs/>
                <w:color w:val="auto"/>
                <w:kern w:val="0"/>
                <w:szCs w:val="21"/>
              </w:rPr>
              <w:t>健身</w:t>
            </w:r>
            <w:r>
              <w:rPr>
                <w:rFonts w:hint="eastAsia" w:ascii="Times New Roman" w:hAnsi="Times New Roman" w:eastAsia="华文宋体" w:cs="Times New Roman"/>
                <w:bCs/>
                <w:color w:val="auto"/>
                <w:kern w:val="0"/>
                <w:szCs w:val="21"/>
                <w:lang w:eastAsia="zh-CN"/>
              </w:rPr>
              <w:t>、</w:t>
            </w:r>
            <w:r>
              <w:rPr>
                <w:rFonts w:ascii="Times New Roman" w:hAnsi="Times New Roman" w:eastAsia="华文宋体" w:cs="Times New Roman"/>
                <w:bCs/>
                <w:color w:val="auto"/>
                <w:kern w:val="0"/>
                <w:szCs w:val="21"/>
              </w:rPr>
              <w:t>休闲、采摘、观光</w:t>
            </w:r>
            <w:r>
              <w:rPr>
                <w:rFonts w:ascii="Times New Roman" w:hAnsi="Times New Roman" w:eastAsia="华文宋体" w:cs="Times New Roman"/>
                <w:bCs/>
                <w:kern w:val="0"/>
                <w:szCs w:val="21"/>
              </w:rPr>
              <w:t>等多种形式的生态旅游相结合，积极发展森林人家，</w:t>
            </w:r>
            <w:r>
              <w:rPr>
                <w:rFonts w:ascii="Times New Roman" w:hAnsi="Times New Roman" w:eastAsia="华文宋体" w:cs="Times New Roman"/>
                <w:bCs/>
                <w:color w:val="auto"/>
                <w:kern w:val="0"/>
                <w:szCs w:val="21"/>
              </w:rPr>
              <w:t>建</w:t>
            </w:r>
            <w:r>
              <w:rPr>
                <w:rFonts w:hint="eastAsia" w:ascii="Times New Roman" w:hAnsi="Times New Roman" w:eastAsia="华文宋体" w:cs="Times New Roman"/>
                <w:bCs/>
                <w:color w:val="auto"/>
                <w:kern w:val="0"/>
                <w:szCs w:val="21"/>
                <w:lang w:val="en-US" w:eastAsia="zh-CN"/>
              </w:rPr>
              <w:t>立</w:t>
            </w:r>
            <w:r>
              <w:rPr>
                <w:rFonts w:ascii="Times New Roman" w:hAnsi="Times New Roman" w:eastAsia="华文宋体" w:cs="Times New Roman"/>
                <w:bCs/>
                <w:kern w:val="0"/>
                <w:szCs w:val="21"/>
              </w:rPr>
              <w:t>特色乡村生态休闲</w:t>
            </w:r>
            <w:r>
              <w:rPr>
                <w:rFonts w:hint="eastAsia" w:ascii="Times New Roman" w:hAnsi="Times New Roman" w:eastAsia="华文宋体" w:cs="Times New Roman"/>
                <w:bCs/>
                <w:color w:val="auto"/>
                <w:kern w:val="0"/>
                <w:szCs w:val="21"/>
                <w:lang w:val="en-US" w:eastAsia="zh-CN"/>
              </w:rPr>
              <w:t>村镇</w:t>
            </w:r>
            <w:r>
              <w:rPr>
                <w:rFonts w:ascii="Times New Roman" w:hAnsi="Times New Roman" w:eastAsia="华文宋体" w:cs="Times New Roman"/>
                <w:bCs/>
                <w:kern w:val="0"/>
                <w:szCs w:val="21"/>
              </w:rPr>
              <w:t>。</w:t>
            </w:r>
          </w:p>
        </w:tc>
        <w:tc>
          <w:tcPr>
            <w:tcW w:w="6271" w:type="dxa"/>
            <w:vAlign w:val="center"/>
          </w:tcPr>
          <w:p>
            <w:pPr>
              <w:pStyle w:val="19"/>
              <w:ind w:firstLine="0" w:firstLineChars="0"/>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据统计，2016年邹城市共建成旅游特色村8个，旅游强乡镇1个（唐村镇），山东省农业旅游示范点3个，山东省精品采摘园12个，好客人家星级农家乐共18个，其中五星级4家，四星级5家，三星级9家。2017年邹城市共建成旅游特色村8个，旅游强乡镇1个（千泉街道），山东省农业旅游示范点3个，山东省精品采摘园6个，好客人家星级农家乐共11个，其中五星级1家，四星级7家，三星级3家。</w:t>
            </w:r>
            <w:r>
              <w:rPr>
                <w:rFonts w:hint="eastAsia" w:ascii="Times New Roman" w:hAnsi="Times New Roman" w:eastAsia="华文宋体" w:cs="Times New Roman"/>
                <w:bCs/>
                <w:kern w:val="0"/>
                <w:szCs w:val="21"/>
                <w:lang w:val="en-US" w:eastAsia="zh-CN"/>
              </w:rPr>
              <w:t>2016-2017年建成全国生态文化村1个、</w:t>
            </w:r>
            <w:r>
              <w:rPr>
                <w:rFonts w:ascii="Times New Roman" w:hAnsi="Times New Roman" w:eastAsia="华文宋体" w:cs="Times New Roman"/>
                <w:bCs/>
                <w:kern w:val="0"/>
                <w:szCs w:val="21"/>
              </w:rPr>
              <w:t>2016至2017年邹城市接待生态旅游游客逐年增加，分别为57.8万人次、 79.8万人次，生态旅游收入分别为2.78亿元、 3.96亿元，生态旅游人数和收入均呈逐年上升趋势。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25</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林产基地</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建设特色经济林、林下种养殖、用材林等林业产业基地，农民涉林收入逐年增加。</w:t>
            </w:r>
          </w:p>
        </w:tc>
        <w:tc>
          <w:tcPr>
            <w:tcW w:w="6271" w:type="dxa"/>
            <w:vAlign w:val="center"/>
          </w:tcPr>
          <w:p>
            <w:pPr>
              <w:pStyle w:val="19"/>
              <w:ind w:firstLine="0" w:firstLineChars="0"/>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自创建国家森林城市以来，在邹城市委、市政府的高度重视下，全市加快发展林业产业，全力推进林业产业基地建设。主要从以下几方面进行：一是积极培植和扶持龙头企业和林业专业合作示范社，成立邹城市林业产业协会，进一步促进林业增效、农民增收和就业增加；二是大力发展以野生动物驯养繁殖为主的特色林下种养殖经济；三是积极发展森林生态旅游和林家乐生态游，加快特色林业基地的建设；四是充分加强林业科技合作，推进林下特色经济如木材产品的发展。据统计，创森期间全市共创建林产基地29个（山东邹鲁生态园、猪牙皂生产示范园、香城现代农业科技示范园、张庄镇樱桃生产标准园等）。邹城市2016年和2017年的林业产业总产值分别为26.8568亿元和28.1277亿元，林业产业稳定增长、农民涉林收入逐年增加，林业产业惠民作用不断凸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26</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林木苗圃</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全市绿化苗木生产基本满足本绿化需要，苗木自给率达80%以上，并建有优良乡土绿化树种培育基地。</w:t>
            </w:r>
          </w:p>
        </w:tc>
        <w:tc>
          <w:tcPr>
            <w:tcW w:w="6271" w:type="dxa"/>
            <w:vAlign w:val="center"/>
          </w:tcPr>
          <w:p>
            <w:pPr>
              <w:pStyle w:val="19"/>
              <w:ind w:firstLine="0" w:firstLineChars="0"/>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达标。自创建国家森林城市以来，邹城市委</w:t>
            </w:r>
            <w:r>
              <w:rPr>
                <w:rFonts w:hint="eastAsia" w:ascii="Times New Roman" w:hAnsi="Times New Roman" w:eastAsia="华文宋体" w:cs="Times New Roman"/>
                <w:bCs/>
                <w:kern w:val="0"/>
                <w:szCs w:val="21"/>
                <w:lang w:eastAsia="zh-CN"/>
              </w:rPr>
              <w:t>、</w:t>
            </w:r>
            <w:r>
              <w:rPr>
                <w:rFonts w:ascii="Times New Roman" w:hAnsi="Times New Roman" w:eastAsia="华文宋体" w:cs="Times New Roman"/>
                <w:bCs/>
                <w:kern w:val="0"/>
                <w:szCs w:val="21"/>
              </w:rPr>
              <w:t>市政府高度重视、大力发展具有区域特色的城乡绿化苗木、花卉生产基地。通过政府引领、龙头企业带动，着力加强高档园林绿化苗木、精品苗木和乡土树种苗木的培育，重点发展优质果树苗木和色叶树种苗木，培育邹城苗木特色品牌。据统计，2016年邹城全市总出苗量为2247.3万株，用苗量1408.7万株；2017全年总出苗量为2447万株，用苗量1506万株；2018年全市苗圃总出苗量为2840万株，用苗量为1637万株。2018年邹城市内的育苗面积达1383.26公顷。创森期间，苗木</w:t>
            </w:r>
            <w:r>
              <w:rPr>
                <w:rFonts w:hint="eastAsia" w:ascii="Times New Roman" w:hAnsi="Times New Roman" w:eastAsia="华文宋体" w:cs="Times New Roman"/>
                <w:bCs/>
                <w:kern w:val="0"/>
                <w:szCs w:val="21"/>
                <w:lang w:val="en-US" w:eastAsia="zh-CN"/>
              </w:rPr>
              <w:t>去向</w:t>
            </w:r>
            <w:r>
              <w:rPr>
                <w:rFonts w:ascii="Times New Roman" w:hAnsi="Times New Roman" w:eastAsia="华文宋体" w:cs="Times New Roman"/>
                <w:bCs/>
                <w:kern w:val="0"/>
                <w:szCs w:val="21"/>
              </w:rPr>
              <w:t>用于本地种植，全市苗木自给率超过80%。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27</w:t>
            </w:r>
          </w:p>
        </w:tc>
        <w:tc>
          <w:tcPr>
            <w:tcW w:w="921" w:type="dxa"/>
            <w:vMerge w:val="restart"/>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市</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生</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态</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文</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化</w:t>
            </w: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科普场所</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在森林公园、湿地公园、植物园、动物园、自然保护区的开放区等公众游憩地，设有专门的科普小标识、科普宣传栏、科普馆等生态知识教育设施和场所。</w:t>
            </w:r>
          </w:p>
        </w:tc>
        <w:tc>
          <w:tcPr>
            <w:tcW w:w="6271" w:type="dxa"/>
            <w:vAlign w:val="center"/>
          </w:tcPr>
          <w:p>
            <w:pPr>
              <w:pStyle w:val="19"/>
              <w:ind w:firstLine="0" w:firstLineChars="0"/>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自创建国家森林城市以来，邹城市以森林公园、湿地公园、中小学校园等为依托，大力完善科普宣教设施建设，增强向游客和学生宣传科普知识的力度；努力建设各级科普教育场所，为人们进一步学习和了解生态知识提供了便利条件。 为充分发挥科普教育基地示范带动作用，创森期间邹城市科学技术协会命名邹城市森林科普馆、邹城市护驾山植物园、</w:t>
            </w:r>
            <w:r>
              <w:rPr>
                <w:rFonts w:hint="eastAsia" w:ascii="Times New Roman" w:hAnsi="Times New Roman" w:eastAsia="华文宋体" w:cs="Times New Roman"/>
                <w:bCs/>
                <w:color w:val="FF0000"/>
                <w:kern w:val="0"/>
                <w:szCs w:val="21"/>
                <w:lang w:val="en-US" w:eastAsia="zh-CN"/>
              </w:rPr>
              <w:t>山东</w:t>
            </w:r>
            <w:r>
              <w:rPr>
                <w:rFonts w:ascii="Times New Roman" w:hAnsi="Times New Roman" w:eastAsia="华文宋体" w:cs="Times New Roman"/>
                <w:bCs/>
                <w:color w:val="FF0000"/>
                <w:kern w:val="0"/>
                <w:szCs w:val="21"/>
              </w:rPr>
              <w:t>邹城太平国家湿地公园</w:t>
            </w:r>
            <w:r>
              <w:rPr>
                <w:rFonts w:ascii="Times New Roman" w:hAnsi="Times New Roman" w:eastAsia="华文宋体" w:cs="Times New Roman"/>
                <w:bCs/>
                <w:kern w:val="0"/>
                <w:szCs w:val="21"/>
              </w:rPr>
              <w:t>等16个单位为科普教育基地。市林业局、教育局通过考察和审核，推荐邹城市实验中学、邹城市千泉街道办事处兴隆小学等为</w:t>
            </w:r>
            <w:r>
              <w:rPr>
                <w:rFonts w:ascii="Times New Roman" w:hAnsi="Times New Roman" w:eastAsia="华文宋体" w:cs="Times New Roman"/>
                <w:bCs/>
                <w:color w:val="FF0000"/>
                <w:kern w:val="0"/>
                <w:szCs w:val="21"/>
              </w:rPr>
              <w:t>济宁市级生态文化科普校园</w:t>
            </w:r>
            <w:r>
              <w:rPr>
                <w:rFonts w:ascii="Times New Roman" w:hAnsi="Times New Roman" w:eastAsia="华文宋体" w:cs="Times New Roman"/>
                <w:bCs/>
                <w:kern w:val="0"/>
                <w:szCs w:val="21"/>
              </w:rPr>
              <w:t>。各场所依托科普设施，大力弘扬生态文明建设，普及相关科学知识，营造了全民参与生态科普建设的良好氛围，促进了科普教育建设进程。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28</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义务植树</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认真组织全民义务植树，广泛开展城市绿地认建、认养、认管等多种形式的社会参与绿化活动，建立义务植树登记卡和跟踪制度，全民义务植树尽责率达80%以上。</w:t>
            </w:r>
          </w:p>
        </w:tc>
        <w:tc>
          <w:tcPr>
            <w:tcW w:w="6271" w:type="dxa"/>
            <w:vAlign w:val="center"/>
          </w:tcPr>
          <w:p>
            <w:pPr>
              <w:rPr>
                <w:rFonts w:ascii="Times New Roman" w:hAnsi="Times New Roman" w:eastAsia="华文宋体" w:cs="Times New Roman"/>
                <w:bCs/>
                <w:color w:val="auto"/>
                <w:sz w:val="21"/>
                <w:szCs w:val="21"/>
              </w:rPr>
            </w:pPr>
            <w:r>
              <w:rPr>
                <w:rFonts w:ascii="Times New Roman" w:hAnsi="Times New Roman" w:eastAsia="华文宋体" w:cs="Times New Roman"/>
                <w:bCs/>
                <w:color w:val="auto"/>
                <w:sz w:val="21"/>
                <w:szCs w:val="21"/>
              </w:rPr>
              <w:t>达标。</w:t>
            </w:r>
            <w:r>
              <w:rPr>
                <w:rFonts w:hint="eastAsia"/>
                <w:color w:val="FF0000"/>
                <w:lang w:val="en-US" w:eastAsia="zh-CN"/>
              </w:rPr>
              <w:t>为广泛开展国土绿化行动和森林城市建设，不断扩大森林绿量和人居生态环境，不断提升广大市民幸福感和获得感，邹城市始终坚持植树造林以人民为中心的发展思想，积极引导广大干部群众踊跃参与全民义务植树活动。</w:t>
            </w:r>
            <w:r>
              <w:rPr>
                <w:rFonts w:ascii="Times New Roman" w:hAnsi="Times New Roman" w:eastAsia="华文宋体" w:cs="Times New Roman"/>
                <w:bCs/>
                <w:color w:val="FF0000"/>
                <w:sz w:val="21"/>
                <w:szCs w:val="21"/>
              </w:rPr>
              <w:t>自创建国家森林城市以来，邹城市</w:t>
            </w:r>
            <w:r>
              <w:rPr>
                <w:rFonts w:hint="eastAsia" w:ascii="Times New Roman" w:hAnsi="Times New Roman" w:eastAsia="华文宋体" w:cs="Times New Roman"/>
                <w:bCs/>
                <w:color w:val="FF0000"/>
                <w:sz w:val="21"/>
                <w:szCs w:val="21"/>
                <w:lang w:val="en-US" w:eastAsia="zh-CN"/>
              </w:rPr>
              <w:t>积极创新互联网＋认建认捐认养等义务植树方式，</w:t>
            </w:r>
            <w:r>
              <w:rPr>
                <w:rFonts w:ascii="Times New Roman" w:hAnsi="Times New Roman" w:eastAsia="华文宋体" w:cs="Times New Roman"/>
                <w:bCs/>
                <w:color w:val="FF0000"/>
                <w:sz w:val="21"/>
                <w:szCs w:val="21"/>
              </w:rPr>
              <w:t>连</w:t>
            </w:r>
            <w:r>
              <w:rPr>
                <w:rFonts w:hint="eastAsia" w:ascii="Times New Roman" w:hAnsi="Times New Roman" w:eastAsia="华文宋体" w:cs="Times New Roman"/>
                <w:bCs/>
                <w:color w:val="FF0000"/>
                <w:sz w:val="21"/>
                <w:szCs w:val="21"/>
                <w:lang w:val="en-US" w:eastAsia="zh-CN"/>
              </w:rPr>
              <w:t>年组织</w:t>
            </w:r>
            <w:r>
              <w:rPr>
                <w:rFonts w:ascii="Times New Roman" w:hAnsi="Times New Roman" w:eastAsia="华文宋体" w:cs="Times New Roman"/>
                <w:bCs/>
                <w:color w:val="FF0000"/>
                <w:sz w:val="21"/>
                <w:szCs w:val="21"/>
              </w:rPr>
              <w:t>开展了市直机关领导干部3.12义务植树</w:t>
            </w:r>
            <w:r>
              <w:rPr>
                <w:rFonts w:hint="eastAsia" w:ascii="Times New Roman" w:hAnsi="Times New Roman" w:eastAsia="华文宋体" w:cs="Times New Roman"/>
                <w:bCs/>
                <w:color w:val="FF0000"/>
                <w:sz w:val="21"/>
                <w:szCs w:val="21"/>
                <w:lang w:eastAsia="zh-CN"/>
              </w:rPr>
              <w:t>、</w:t>
            </w:r>
            <w:r>
              <w:rPr>
                <w:rFonts w:ascii="Times New Roman" w:hAnsi="Times New Roman" w:eastAsia="华文宋体" w:cs="Times New Roman"/>
                <w:bCs/>
                <w:color w:val="FF0000"/>
                <w:sz w:val="21"/>
                <w:szCs w:val="21"/>
              </w:rPr>
              <w:t>雨季义务植树活动</w:t>
            </w:r>
            <w:r>
              <w:rPr>
                <w:rFonts w:hint="eastAsia" w:ascii="Times New Roman" w:hAnsi="Times New Roman" w:eastAsia="华文宋体" w:cs="Times New Roman"/>
                <w:bCs/>
                <w:color w:val="FF0000"/>
                <w:sz w:val="21"/>
                <w:szCs w:val="21"/>
                <w:lang w:eastAsia="zh-CN"/>
              </w:rPr>
              <w:t>、</w:t>
            </w:r>
            <w:r>
              <w:rPr>
                <w:rFonts w:ascii="Times New Roman" w:hAnsi="Times New Roman" w:eastAsia="华文宋体" w:cs="Times New Roman"/>
                <w:bCs/>
                <w:color w:val="FF0000"/>
                <w:sz w:val="21"/>
                <w:szCs w:val="21"/>
              </w:rPr>
              <w:t>巾帼植树增绿在行动、</w:t>
            </w:r>
            <w:r>
              <w:rPr>
                <w:rFonts w:hint="eastAsia" w:ascii="Times New Roman" w:hAnsi="Times New Roman" w:eastAsia="华文宋体" w:cs="Times New Roman"/>
                <w:bCs/>
                <w:color w:val="FF0000"/>
                <w:sz w:val="21"/>
                <w:szCs w:val="21"/>
                <w:lang w:val="en-US" w:eastAsia="zh-CN"/>
              </w:rPr>
              <w:t>青春绿色行动等形式多样的义务植树活动，鼓励社会各界建设企业林、青年林、巾帼林等纪念林，不断丰富全民义务植树内涵，积极</w:t>
            </w:r>
            <w:r>
              <w:rPr>
                <w:rFonts w:ascii="Times New Roman" w:hAnsi="Times New Roman" w:eastAsia="华文宋体" w:cs="Times New Roman"/>
                <w:bCs/>
                <w:color w:val="FF0000"/>
                <w:sz w:val="21"/>
                <w:szCs w:val="21"/>
              </w:rPr>
              <w:t>拓宽义务植树活动空间，</w:t>
            </w:r>
            <w:r>
              <w:rPr>
                <w:rFonts w:hint="eastAsia" w:ascii="Times New Roman" w:hAnsi="Times New Roman" w:eastAsia="华文宋体" w:cs="Times New Roman"/>
                <w:bCs/>
                <w:color w:val="FF0000"/>
                <w:sz w:val="21"/>
                <w:szCs w:val="21"/>
                <w:lang w:val="en-US" w:eastAsia="zh-CN"/>
              </w:rPr>
              <w:t>在全市形成“人人争先参与国土绿化，人人争创国家森林城市”的浓厚社会氛围。</w:t>
            </w:r>
            <w:r>
              <w:rPr>
                <w:rFonts w:ascii="Times New Roman" w:hAnsi="Times New Roman" w:eastAsia="华文宋体" w:cs="Times New Roman"/>
                <w:bCs/>
                <w:color w:val="auto"/>
                <w:sz w:val="21"/>
                <w:szCs w:val="21"/>
              </w:rPr>
              <w:t>创森期间，邹城市全民义务植树绿化基地的建设成果显著，</w:t>
            </w:r>
            <w:r>
              <w:rPr>
                <w:rFonts w:ascii="Times New Roman" w:hAnsi="Times New Roman" w:eastAsia="华文宋体" w:cs="Times New Roman"/>
                <w:bCs/>
                <w:color w:val="FF0000"/>
                <w:sz w:val="21"/>
                <w:szCs w:val="21"/>
              </w:rPr>
              <w:t>2016年度全市义务植树基地达35个，绿化面积</w:t>
            </w:r>
            <w:r>
              <w:rPr>
                <w:rFonts w:hint="eastAsia" w:ascii="Times New Roman" w:hAnsi="Times New Roman" w:eastAsia="华文宋体" w:cs="Times New Roman"/>
                <w:bCs/>
                <w:color w:val="FF0000"/>
                <w:sz w:val="21"/>
                <w:szCs w:val="21"/>
                <w:lang w:val="en-US" w:eastAsia="zh-CN"/>
              </w:rPr>
              <w:t>676</w:t>
            </w:r>
            <w:r>
              <w:rPr>
                <w:rFonts w:ascii="Times New Roman" w:hAnsi="Times New Roman" w:eastAsia="华文宋体" w:cs="Times New Roman"/>
                <w:bCs/>
                <w:color w:val="FF0000"/>
                <w:sz w:val="21"/>
                <w:szCs w:val="21"/>
              </w:rPr>
              <w:t>hm²；2017年度全市义务植树基地达28个，绿化面积为</w:t>
            </w:r>
            <w:r>
              <w:rPr>
                <w:rFonts w:hint="eastAsia" w:ascii="Times New Roman" w:hAnsi="Times New Roman" w:eastAsia="华文宋体" w:cs="Times New Roman"/>
                <w:bCs/>
                <w:color w:val="FF0000"/>
                <w:sz w:val="21"/>
                <w:szCs w:val="21"/>
                <w:lang w:val="en-US" w:eastAsia="zh-CN"/>
              </w:rPr>
              <w:t>342.6</w:t>
            </w:r>
            <w:r>
              <w:rPr>
                <w:rFonts w:ascii="Times New Roman" w:hAnsi="Times New Roman" w:eastAsia="华文宋体" w:cs="Times New Roman"/>
                <w:bCs/>
                <w:color w:val="FF0000"/>
                <w:sz w:val="21"/>
                <w:szCs w:val="21"/>
              </w:rPr>
              <w:t>hm²。据统计，2016年邹城市义务植树</w:t>
            </w:r>
            <w:r>
              <w:rPr>
                <w:rFonts w:hint="eastAsia" w:ascii="Times New Roman" w:hAnsi="Times New Roman" w:eastAsia="华文宋体" w:cs="Times New Roman"/>
                <w:bCs/>
                <w:color w:val="FF0000"/>
                <w:sz w:val="21"/>
                <w:szCs w:val="21"/>
                <w:lang w:val="en-US" w:eastAsia="zh-CN"/>
              </w:rPr>
              <w:t>205.6</w:t>
            </w:r>
            <w:r>
              <w:rPr>
                <w:rFonts w:ascii="Times New Roman" w:hAnsi="Times New Roman" w:eastAsia="华文宋体" w:cs="Times New Roman"/>
                <w:bCs/>
                <w:color w:val="FF0000"/>
                <w:sz w:val="21"/>
                <w:szCs w:val="21"/>
              </w:rPr>
              <w:t>万株，参加人数达</w:t>
            </w:r>
            <w:r>
              <w:rPr>
                <w:rFonts w:hint="eastAsia" w:ascii="Times New Roman" w:hAnsi="Times New Roman" w:eastAsia="华文宋体" w:cs="Times New Roman"/>
                <w:bCs/>
                <w:color w:val="FF0000"/>
                <w:sz w:val="21"/>
                <w:szCs w:val="21"/>
                <w:lang w:val="en-US" w:eastAsia="zh-CN"/>
              </w:rPr>
              <w:t>59.54</w:t>
            </w:r>
            <w:r>
              <w:rPr>
                <w:rFonts w:ascii="Times New Roman" w:hAnsi="Times New Roman" w:eastAsia="华文宋体" w:cs="Times New Roman"/>
                <w:bCs/>
                <w:color w:val="FF0000"/>
                <w:sz w:val="21"/>
                <w:szCs w:val="21"/>
              </w:rPr>
              <w:t>万人，尽责率93.</w:t>
            </w:r>
            <w:r>
              <w:rPr>
                <w:rFonts w:hint="eastAsia" w:ascii="Times New Roman" w:hAnsi="Times New Roman" w:eastAsia="华文宋体" w:cs="Times New Roman"/>
                <w:bCs/>
                <w:color w:val="FF0000"/>
                <w:sz w:val="21"/>
                <w:szCs w:val="21"/>
                <w:lang w:val="en-US" w:eastAsia="zh-CN"/>
              </w:rPr>
              <w:t>8</w:t>
            </w:r>
            <w:r>
              <w:rPr>
                <w:rFonts w:ascii="Times New Roman" w:hAnsi="Times New Roman" w:eastAsia="华文宋体" w:cs="Times New Roman"/>
                <w:bCs/>
                <w:color w:val="FF0000"/>
                <w:sz w:val="21"/>
                <w:szCs w:val="21"/>
              </w:rPr>
              <w:t>%，建卡率100%，成活率为</w:t>
            </w:r>
            <w:r>
              <w:rPr>
                <w:rFonts w:hint="eastAsia" w:ascii="Times New Roman" w:hAnsi="Times New Roman" w:eastAsia="华文宋体" w:cs="Times New Roman"/>
                <w:bCs/>
                <w:color w:val="FF0000"/>
                <w:sz w:val="21"/>
                <w:szCs w:val="21"/>
                <w:lang w:val="en-US" w:eastAsia="zh-CN"/>
              </w:rPr>
              <w:t>91.9</w:t>
            </w:r>
            <w:r>
              <w:rPr>
                <w:rFonts w:ascii="Times New Roman" w:hAnsi="Times New Roman" w:eastAsia="华文宋体" w:cs="Times New Roman"/>
                <w:bCs/>
                <w:color w:val="FF0000"/>
                <w:sz w:val="21"/>
                <w:szCs w:val="21"/>
              </w:rPr>
              <w:t>%。2017年全市义务植树198.6万株，参加人数达59.12万人，植树尽责率为93.3%，建卡率达100%，成活率为92.2%。2018年</w:t>
            </w:r>
            <w:r>
              <w:rPr>
                <w:rFonts w:hint="eastAsia" w:ascii="Times New Roman" w:hAnsi="Times New Roman" w:eastAsia="华文宋体" w:cs="Times New Roman"/>
                <w:bCs/>
                <w:color w:val="FF0000"/>
                <w:sz w:val="21"/>
                <w:szCs w:val="21"/>
                <w:lang w:val="en-US" w:eastAsia="zh-CN"/>
              </w:rPr>
              <w:t>邹城</w:t>
            </w:r>
            <w:r>
              <w:rPr>
                <w:rFonts w:ascii="Times New Roman" w:hAnsi="Times New Roman" w:eastAsia="华文宋体" w:cs="Times New Roman"/>
                <w:bCs/>
                <w:color w:val="FF0000"/>
                <w:sz w:val="21"/>
                <w:szCs w:val="21"/>
              </w:rPr>
              <w:t>市义务植树194.2万株，参加人数60.02万人，植树尽责率为93.8%，建卡率100%，成活率为92.6%。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29</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科普活动</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每年举办市级生态科普活动5次以上。</w:t>
            </w:r>
          </w:p>
        </w:tc>
        <w:tc>
          <w:tcPr>
            <w:tcW w:w="6271" w:type="dxa"/>
            <w:vAlign w:val="center"/>
          </w:tcPr>
          <w:p>
            <w:pPr>
              <w:pStyle w:val="19"/>
              <w:ind w:firstLine="0" w:firstLineChars="0"/>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自开展创建国家森林城市工作以来，邹城市先后由市委宣传部、团市委、市林业局、市科协、市环保局、市科技局等单位定期主办，在全市科普教育基地、市区公园、各大湿地公园、森林公园、自然保护区等地开展森林防火知识宣传活动、义务植树科普活动、环境日宣传、野生动植物保护宣传等科普活动；全市通过电视广播、报纸、广告牌等多种媒介方式进行科普活动的宣传，极大地提高了公民的生态环境保护意识。2017年举办了“小手拉大手，共度绿色中国年”、湿地日宣传活动、植树节活动、“六五”环境日宣传活动、“土地日”主题宣传活动等。自创森以来，全城每年举办市级生态科普活动均达到5次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30</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古树名木</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古树名木管理规范，档案齐全，保护措施到位，古树名木保护率达100%。</w:t>
            </w:r>
          </w:p>
        </w:tc>
        <w:tc>
          <w:tcPr>
            <w:tcW w:w="6271" w:type="dxa"/>
            <w:vAlign w:val="center"/>
          </w:tcPr>
          <w:p>
            <w:pPr>
              <w:pStyle w:val="19"/>
              <w:ind w:firstLine="0" w:firstLineChars="0"/>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达标。邹城市文化历史悠久，所辖区内多处分布古树名木，共有古树10077株，是山东省古树名木最多的地区之一，主要包含侧柏、圆柏、</w:t>
            </w:r>
            <w:r>
              <w:rPr>
                <w:rFonts w:ascii="Times New Roman" w:hAnsi="Times New Roman" w:eastAsia="华文宋体" w:cs="Times New Roman"/>
                <w:bCs/>
                <w:color w:val="FF0000"/>
                <w:kern w:val="0"/>
                <w:szCs w:val="21"/>
              </w:rPr>
              <w:t>皂</w:t>
            </w:r>
            <w:r>
              <w:rPr>
                <w:rFonts w:hint="eastAsia" w:ascii="Times New Roman" w:hAnsi="Times New Roman" w:eastAsia="华文宋体" w:cs="Times New Roman"/>
                <w:bCs/>
                <w:color w:val="FF0000"/>
                <w:kern w:val="0"/>
                <w:szCs w:val="21"/>
                <w:lang w:val="en-US" w:eastAsia="zh-CN"/>
              </w:rPr>
              <w:t>荚</w:t>
            </w:r>
            <w:r>
              <w:rPr>
                <w:rFonts w:ascii="Times New Roman" w:hAnsi="Times New Roman" w:eastAsia="华文宋体" w:cs="Times New Roman"/>
                <w:bCs/>
                <w:kern w:val="0"/>
                <w:szCs w:val="21"/>
              </w:rPr>
              <w:t>、毛白杨、柳、石榴、桑树、银杏、紫藤、梓树等树种。其中国家一级古树8078株（500 年以上），国家二级古树650 株（300-499 年），国家三级古树1349株（100-299年）。对于市域范围内的古树名木，邹城市在普查、登记、建档的基础上，针对每株古树名木现状，一树一策，采取设置围栏、修枝整形、树洞修补、防治病虫害、支撑加固和复壮等多种技术手段，全部实施了保护。同时对古树名木定期进行检查、复查，落实保护管理责任制。特别地针对三孟景区内的古树名木，充分采用新思路、新材料、新技术应用于古树保护的施工实践。根据统计，全市古树名木保护率达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31</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市树市花</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经依法民主议定，确定市树、市花，并在城乡绿化中广泛应用。</w:t>
            </w:r>
          </w:p>
        </w:tc>
        <w:tc>
          <w:tcPr>
            <w:tcW w:w="6271"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市树市花是一个城市地域特色和人文特色的象征，是最生动、鲜活、彰显城市魅力的名片。市树市花的确定还能够有效地推进城市的生态文化建设，改善人居环境，增强人们的城市归属感。为推动全市创建国家森林城市，自2016年起，邹城市启动市树市花评选工作，采取网站、微信、报纸、信函等多种方式进行了公众投票。2017年4月邹城市召开市树市花专家评审会议，市绿化委员会对评审意见进行了审核，在《新邹城》、邹城林业信息网等媒介进行了为期20天的公示，2017年7月召开了市政府常务会议，对市树市花公众投票结果及专家评审意见进行了审定，同意推荐市树为皂荚、市花为月季，2017年8月邹城市第十八届人大常委会第四次会议通过皂荚为市</w:t>
            </w:r>
            <w:r>
              <w:rPr>
                <w:rFonts w:ascii="Times New Roman" w:hAnsi="Times New Roman" w:eastAsia="华文宋体" w:cs="Times New Roman"/>
                <w:bCs/>
                <w:color w:val="FF0000"/>
                <w:kern w:val="0"/>
                <w:szCs w:val="21"/>
              </w:rPr>
              <w:t>树</w:t>
            </w:r>
            <w:r>
              <w:rPr>
                <w:rFonts w:hint="eastAsia" w:ascii="Times New Roman" w:hAnsi="Times New Roman" w:eastAsia="华文宋体" w:cs="Times New Roman"/>
                <w:bCs/>
                <w:color w:val="FF0000"/>
                <w:kern w:val="0"/>
                <w:szCs w:val="21"/>
                <w:lang w:eastAsia="zh-CN"/>
              </w:rPr>
              <w:t>、</w:t>
            </w:r>
            <w:r>
              <w:rPr>
                <w:rFonts w:ascii="Times New Roman" w:hAnsi="Times New Roman" w:eastAsia="华文宋体" w:cs="Times New Roman"/>
                <w:bCs/>
                <w:color w:val="FF0000"/>
                <w:kern w:val="0"/>
                <w:szCs w:val="21"/>
              </w:rPr>
              <w:t>月季为市花</w:t>
            </w:r>
            <w:r>
              <w:rPr>
                <w:rFonts w:hint="eastAsia" w:ascii="Times New Roman" w:hAnsi="Times New Roman" w:eastAsia="华文宋体" w:cs="Times New Roman"/>
                <w:bCs/>
                <w:color w:val="FF0000"/>
                <w:kern w:val="0"/>
                <w:szCs w:val="21"/>
                <w:lang w:eastAsia="zh-CN"/>
              </w:rPr>
              <w:t>，</w:t>
            </w:r>
            <w:r>
              <w:rPr>
                <w:rFonts w:hint="eastAsia" w:ascii="Times New Roman" w:hAnsi="Times New Roman" w:eastAsia="华文宋体" w:cs="Times New Roman"/>
                <w:bCs/>
                <w:color w:val="FF0000"/>
                <w:kern w:val="0"/>
                <w:szCs w:val="21"/>
                <w:lang w:val="en-US" w:eastAsia="zh-CN"/>
              </w:rPr>
              <w:t>并</w:t>
            </w:r>
            <w:r>
              <w:rPr>
                <w:rFonts w:ascii="Times New Roman" w:hAnsi="Times New Roman" w:eastAsia="华文宋体" w:cs="Times New Roman"/>
                <w:bCs/>
                <w:color w:val="FF0000"/>
                <w:kern w:val="0"/>
                <w:szCs w:val="21"/>
              </w:rPr>
              <w:t>在各</w:t>
            </w:r>
            <w:r>
              <w:rPr>
                <w:rFonts w:ascii="Times New Roman" w:hAnsi="Times New Roman" w:eastAsia="华文宋体" w:cs="Times New Roman"/>
                <w:bCs/>
                <w:kern w:val="0"/>
                <w:szCs w:val="21"/>
              </w:rPr>
              <w:t>新闻媒体上向全社会公布市树市花的评选结果，加大了市树市花的宣传力度，提升了市民认知度，增强了城市生态文化内涵。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32</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公众态度</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公众对森林城市建设的支持率和满意度应达到90%以上。</w:t>
            </w:r>
          </w:p>
        </w:tc>
        <w:tc>
          <w:tcPr>
            <w:tcW w:w="6271" w:type="dxa"/>
            <w:vAlign w:val="center"/>
          </w:tcPr>
          <w:p>
            <w:pPr>
              <w:rPr>
                <w:rFonts w:ascii="Times New Roman" w:hAnsi="Times New Roman" w:eastAsia="华文宋体" w:cs="Times New Roman"/>
                <w:bCs/>
                <w:color w:val="000000"/>
                <w:kern w:val="0"/>
                <w:szCs w:val="21"/>
              </w:rPr>
            </w:pPr>
            <w:r>
              <w:rPr>
                <w:rFonts w:ascii="Times New Roman" w:hAnsi="Times New Roman" w:eastAsia="华文宋体" w:cs="Times New Roman"/>
                <w:bCs/>
                <w:kern w:val="0"/>
                <w:szCs w:val="21"/>
              </w:rPr>
              <w:t>达标。</w:t>
            </w:r>
            <w:r>
              <w:rPr>
                <w:rFonts w:ascii="Times New Roman" w:hAnsi="Times New Roman" w:eastAsia="华文宋体" w:cs="Times New Roman"/>
                <w:bCs/>
                <w:color w:val="000000"/>
                <w:kern w:val="0"/>
                <w:szCs w:val="21"/>
              </w:rPr>
              <w:t>为营造全市动员、全民支持、全社会参与国家森林城市的浓厚舆论氛围，自创建国家森林城市以来，邹城市开展了多种形式的宣传活动。一是依靠媒体、网络等宣传平台全方位报道创森工作进展。通过《新邹城》、市广播电视台、外宣网等市级媒体报道“创森”和林业生态建设活动。二是加大社会宣传力度，提高创森覆盖面，在城区重要道路设置大型户外广告牌、宣传牌，在沿街部门单位显著位置悬挂创森标语，在学校、医院、居民小区设立创森宣传栏，联合团市委组织自愿服务者进行街头宣传。三是举办各种公益活动，开展以“森林邹城·绿色家园”为主题的书法、美术、摄影、文学作品征集活动</w:t>
            </w:r>
            <w:r>
              <w:rPr>
                <w:rFonts w:hint="eastAsia" w:ascii="Times New Roman" w:hAnsi="Times New Roman" w:eastAsia="华文宋体" w:cs="Times New Roman"/>
                <w:bCs/>
                <w:color w:val="FF0000"/>
                <w:kern w:val="0"/>
                <w:szCs w:val="21"/>
                <w:lang w:eastAsia="zh-CN"/>
              </w:rPr>
              <w:t>。</w:t>
            </w:r>
            <w:r>
              <w:rPr>
                <w:rFonts w:ascii="Times New Roman" w:hAnsi="Times New Roman" w:eastAsia="华文宋体" w:cs="Times New Roman"/>
                <w:bCs/>
                <w:color w:val="000000"/>
                <w:kern w:val="0"/>
                <w:szCs w:val="21"/>
              </w:rPr>
              <w:t>四是组织开展多种形式的义务植树活动，让更多的群众参与到“爱绿、护绿、植绿”的创森活动中。五是联合市教育局在全市中小学校开展“小手拉大手，共创森林城市”活动，在全市中小学生中开展有奖征文、创森摄影赛、创森知识竞赛等多种活动，进一步加强对全市青少年儿童生态文明和绿色发展的宣传教育。截至2018年，邹城市市民对创建国家森林城市的满意度达95.45%，支持率达96.67%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33</w:t>
            </w:r>
          </w:p>
        </w:tc>
        <w:tc>
          <w:tcPr>
            <w:tcW w:w="921" w:type="dxa"/>
            <w:vMerge w:val="restart"/>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市</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森</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林</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管</w:t>
            </w:r>
          </w:p>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理</w:t>
            </w: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组织领导</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党委政府高度重视、按照国家林业局正式批复同意开展创建活动2年以上，创建工作指导思想明确，组织机构健全，政策措施有力，成效明显。</w:t>
            </w:r>
          </w:p>
        </w:tc>
        <w:tc>
          <w:tcPr>
            <w:tcW w:w="6271" w:type="dxa"/>
            <w:vAlign w:val="center"/>
          </w:tcPr>
          <w:p>
            <w:pPr>
              <w:pStyle w:val="19"/>
              <w:ind w:firstLine="0" w:firstLineChars="0"/>
              <w:rPr>
                <w:rFonts w:ascii="Times New Roman" w:hAnsi="Times New Roman" w:eastAsia="华文宋体" w:cs="Times New Roman"/>
                <w:bCs/>
                <w:color w:val="000000"/>
                <w:kern w:val="0"/>
                <w:szCs w:val="21"/>
              </w:rPr>
            </w:pPr>
            <w:r>
              <w:rPr>
                <w:rFonts w:ascii="Times New Roman" w:hAnsi="Times New Roman" w:eastAsia="华文宋体" w:cs="Times New Roman"/>
                <w:bCs/>
                <w:kern w:val="0"/>
                <w:szCs w:val="21"/>
              </w:rPr>
              <w:t>达标。</w:t>
            </w:r>
            <w:r>
              <w:rPr>
                <w:rFonts w:ascii="Times New Roman" w:hAnsi="Times New Roman" w:eastAsia="华文宋体" w:cs="Times New Roman"/>
                <w:bCs/>
                <w:color w:val="000000"/>
                <w:kern w:val="0"/>
                <w:szCs w:val="21"/>
              </w:rPr>
              <w:t>自创建森林城市以来，邹城市政府印发了《中共邹城市委邹城市人民政府关于创建国家森林城市加快生态美丽邹城建设的意见》，成立了以市长为组长的创建国家森林城市领导小组，建立了“一把手抓创建”的领导机制。2016年7月邹城市人民政府批复了《邹城市国家森林城市建设总体规划》，确立了“三区、一核、六带、十线、多园”的空间布局。市委、市政府多次召开专题会议，就创森宣传、重点项目建设等工作进行研究督办，市人大、政协分别对全市的创森工作进行视察和专题调研。邹城市委、市政府抽调林业、城建、交通、水利、农业、旅游、园林等部门有关人员组建了创建国家森林城市领导小组办公室，具体推动创森规划重点工作。连续三年组织召开了由市四大班子及市直部门单位主要领导参加的全市创建国家森林城市动员会、推进会，印发了《邹城市创建国家森林城市工作目标任务责任清单》等文件，将创建任务层层分解,明确创建责任，落实考核奖惩，确保创森工作组织有序、保障有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34</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保障制度</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国家和地方有关林业、绿化的方针、政策、法律、法规得到有效贯彻执行，相关法规和管理制度建设配套高效。</w:t>
            </w:r>
          </w:p>
        </w:tc>
        <w:tc>
          <w:tcPr>
            <w:tcW w:w="6271" w:type="dxa"/>
            <w:vAlign w:val="center"/>
          </w:tcPr>
          <w:p>
            <w:pPr>
              <w:pStyle w:val="19"/>
              <w:ind w:firstLine="0" w:firstLineChars="0"/>
              <w:rPr>
                <w:rFonts w:ascii="Times New Roman" w:hAnsi="Times New Roman" w:eastAsia="华文宋体" w:cs="Times New Roman"/>
                <w:bCs/>
                <w:color w:val="000000"/>
                <w:kern w:val="0"/>
                <w:szCs w:val="21"/>
              </w:rPr>
            </w:pPr>
            <w:r>
              <w:rPr>
                <w:rFonts w:ascii="Times New Roman" w:hAnsi="Times New Roman" w:eastAsia="华文宋体" w:cs="Times New Roman"/>
                <w:bCs/>
                <w:kern w:val="0"/>
                <w:szCs w:val="21"/>
              </w:rPr>
              <w:t>达标。</w:t>
            </w:r>
            <w:r>
              <w:rPr>
                <w:rFonts w:ascii="Times New Roman" w:hAnsi="Times New Roman" w:eastAsia="华文宋体" w:cs="Times New Roman"/>
                <w:bCs/>
                <w:color w:val="000000"/>
                <w:kern w:val="0"/>
                <w:szCs w:val="21"/>
              </w:rPr>
              <w:t>为全面落实邹城市创建国家森林城市的目标，切实加强对全市造林绿化及林业重点工作的督促检查和技术指导。邹城市林业局自2016开始连续三年成立了由科级干部带队的林业重点督导包保组，重点督导全国森林城市创建等重点项目和造林绿化、森林防护、林地保护、林业安全生产等重点工作。邹城市政府把国家森林城市创建工作纳入城市发展和经济社会发展规划，加强各个部门的对接联系，实行严厉奖惩问责，将国家森林城市建设工作纳入邹城市科学发展综合考核体系。同时，邹城市政府组织编写了创建国家森林城市目标年度责任书，为造林绿化、环境保护、生态建设提供了强有力的制度保障，确保了森林城市建设的有序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35</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科学规划</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编制《森林城市建设总体规划》，并通过政府审议、颁布实施2年以上，能按期完成年度任务，并有相应的检查考核制度。</w:t>
            </w:r>
          </w:p>
        </w:tc>
        <w:tc>
          <w:tcPr>
            <w:tcW w:w="6271" w:type="dxa"/>
            <w:vAlign w:val="center"/>
          </w:tcPr>
          <w:p>
            <w:pPr>
              <w:pStyle w:val="19"/>
              <w:ind w:firstLine="0" w:firstLineChars="0"/>
              <w:rPr>
                <w:rFonts w:ascii="Times New Roman" w:hAnsi="Times New Roman" w:eastAsia="华文宋体" w:cs="Times New Roman"/>
                <w:bCs/>
                <w:color w:val="000000"/>
                <w:kern w:val="0"/>
                <w:szCs w:val="21"/>
              </w:rPr>
            </w:pPr>
            <w:r>
              <w:rPr>
                <w:rFonts w:ascii="Times New Roman" w:hAnsi="Times New Roman" w:eastAsia="华文宋体" w:cs="Times New Roman"/>
                <w:bCs/>
                <w:kern w:val="0"/>
                <w:szCs w:val="21"/>
              </w:rPr>
              <w:t>达标。</w:t>
            </w:r>
            <w:r>
              <w:rPr>
                <w:rFonts w:ascii="Times New Roman" w:hAnsi="Times New Roman" w:eastAsia="华文宋体" w:cs="Times New Roman"/>
                <w:bCs/>
                <w:color w:val="000000"/>
                <w:kern w:val="0"/>
                <w:szCs w:val="21"/>
              </w:rPr>
              <w:t>邹城市人民政府聘请北京中森国际工程咨询有限责任公司编制了《山东省邹城市国家森林城市建设总体规划》，邀请山东省林业监测规划院等单位的专家对《山东省邹城市国家森林城市建设总体规划》进行了评审。通过专家评审后，邹城市人民政府批准了《山东省邹城市国家森林城市建设总体规划》。规划以生态文明建设为主题，以保护优先、自然恢复、转型升级、提质增效为主线，在森林生态体系建设、森林产业体系建设、森林城市支撑体系建设等方面分别制定了详细的规划，形成了完整的森林城市建设规划体系和年度任务，确保如期实现国家森林城市创建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36</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投入机制</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把城市森林作为城市基础设施建设的重要内容纳入各级政府公共财政预算，建立政府引导、社会公益力量参与的投入机制。自创建以来，城市森林建设资金逐年增加。</w:t>
            </w:r>
          </w:p>
        </w:tc>
        <w:tc>
          <w:tcPr>
            <w:tcW w:w="6271" w:type="dxa"/>
            <w:vAlign w:val="center"/>
          </w:tcPr>
          <w:p>
            <w:pPr>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w:t>
            </w:r>
            <w:r>
              <w:rPr>
                <w:rFonts w:ascii="Times New Roman" w:hAnsi="Times New Roman" w:eastAsia="华文宋体" w:cs="Times New Roman"/>
                <w:bCs/>
                <w:color w:val="000000"/>
                <w:kern w:val="0"/>
                <w:szCs w:val="21"/>
              </w:rPr>
              <w:t>邹城市自创建国家森林城市以来，把城市森林作为城市基础设施建设的重要内容。在</w:t>
            </w:r>
            <w:r>
              <w:rPr>
                <w:rFonts w:ascii="Times New Roman" w:hAnsi="Times New Roman" w:eastAsia="华文宋体" w:cs="Times New Roman"/>
                <w:bCs/>
                <w:color w:val="FF0000"/>
                <w:kern w:val="0"/>
                <w:szCs w:val="21"/>
              </w:rPr>
              <w:t>邹城市委</w:t>
            </w:r>
            <w:r>
              <w:rPr>
                <w:rFonts w:hint="eastAsia" w:ascii="Times New Roman" w:hAnsi="Times New Roman" w:eastAsia="华文宋体" w:cs="Times New Roman"/>
                <w:bCs/>
                <w:color w:val="FF0000"/>
                <w:kern w:val="0"/>
                <w:szCs w:val="21"/>
                <w:lang w:eastAsia="zh-CN"/>
              </w:rPr>
              <w:t>、</w:t>
            </w:r>
            <w:r>
              <w:rPr>
                <w:rFonts w:ascii="Times New Roman" w:hAnsi="Times New Roman" w:eastAsia="华文宋体" w:cs="Times New Roman"/>
                <w:bCs/>
                <w:color w:val="FF0000"/>
                <w:kern w:val="0"/>
                <w:szCs w:val="21"/>
              </w:rPr>
              <w:t>市政府</w:t>
            </w:r>
            <w:r>
              <w:rPr>
                <w:rFonts w:ascii="Times New Roman" w:hAnsi="Times New Roman" w:eastAsia="华文宋体" w:cs="Times New Roman"/>
                <w:bCs/>
                <w:color w:val="000000"/>
                <w:kern w:val="0"/>
                <w:szCs w:val="21"/>
              </w:rPr>
              <w:t>的领导下，邹城市全力推进国家森林城市创建工作，不断加大财政资金投入力度，将林业建设资金列入财政预算，列支专项资金实施唐王山、接驾山、大小牙山等荒山绿化示范工程建设；将退耕还林工程纳入年度财政预算，</w:t>
            </w:r>
            <w:r>
              <w:rPr>
                <w:rFonts w:ascii="Times New Roman" w:hAnsi="Times New Roman" w:eastAsia="华文宋体" w:cs="Times New Roman"/>
                <w:bCs/>
                <w:color w:val="FF0000"/>
                <w:kern w:val="0"/>
                <w:szCs w:val="21"/>
              </w:rPr>
              <w:t>对新增退耕还林区分树种每亩补助900-1100元</w:t>
            </w:r>
            <w:r>
              <w:rPr>
                <w:rFonts w:ascii="Times New Roman" w:hAnsi="Times New Roman" w:eastAsia="华文宋体" w:cs="Times New Roman"/>
                <w:bCs/>
                <w:color w:val="000000"/>
                <w:kern w:val="0"/>
                <w:szCs w:val="21"/>
              </w:rPr>
              <w:t>；对高速公路、重要道路、水系绿化实施占地补偿，每亩每年补助1000-1800元；列支专项资金，实施了护驾山公园、平安路、成功路等城区裸露土地专项治理工程；2016、2017年市财政列支3.2亿元用于美丽乡村和镇驻地提升工程。进一步完善奖励扶持政策，积极争取国家、省市重点林业项目支持，扩大林业基础设施、重点工程等投入规模；鼓励金融机构开展林权抵押贷款、林农小额信誉贷款、森林资源保险等业务；积极探索以资代劳、认捐认养等多元化投入机制，引导各类投资主体积极参与造林绿化。目前全社会已累计投资14.1亿元，其中各级财政资金（含中央、省、济宁市）投入6.6亿元，吸引社会投资7.5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37</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科技支撑</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城市森林建设有长期稳定的科技支撑措施，按照相关的技术标准实施，制订符合地方实际的城市森林营造、管护和更新等技术规范和手册，并有一定的专业科技人才保障。</w:t>
            </w:r>
          </w:p>
        </w:tc>
        <w:tc>
          <w:tcPr>
            <w:tcW w:w="6271" w:type="dxa"/>
            <w:vAlign w:val="center"/>
          </w:tcPr>
          <w:p>
            <w:pPr>
              <w:pStyle w:val="19"/>
              <w:ind w:firstLine="0" w:firstLineChars="0"/>
              <w:rPr>
                <w:rFonts w:ascii="Times New Roman" w:hAnsi="Times New Roman" w:eastAsia="华文宋体" w:cs="Times New Roman"/>
                <w:bCs/>
                <w:color w:val="000000"/>
                <w:kern w:val="0"/>
                <w:szCs w:val="21"/>
              </w:rPr>
            </w:pPr>
            <w:r>
              <w:rPr>
                <w:rFonts w:ascii="Times New Roman" w:hAnsi="Times New Roman" w:eastAsia="华文宋体" w:cs="Times New Roman"/>
                <w:bCs/>
                <w:kern w:val="0"/>
                <w:szCs w:val="21"/>
              </w:rPr>
              <w:t>达标。</w:t>
            </w:r>
            <w:r>
              <w:rPr>
                <w:rFonts w:ascii="Times New Roman" w:hAnsi="Times New Roman" w:eastAsia="华文宋体" w:cs="Times New Roman"/>
                <w:bCs/>
                <w:color w:val="000000"/>
                <w:kern w:val="0"/>
                <w:szCs w:val="21"/>
              </w:rPr>
              <w:t>邹城市在创建国家森林城市过程中生按照“生态优先，产业支撑，建设现代化林业大市”的工作目标，不断深化林业科技改革，加强林业的指导作用。加强现代林果科技示范基地建设，积极与国家、省市林业科研单位和各大林业高校建立科技合作关系，与中国林科院合作建设了高标准核桃示范园；实行创新“互联网+现代林业”发展模式。实行“技术托管”，与省果树研究所签订科技合作协议；强化与北京林业大学等各大高校在科技、人才、信息、项目等方面深入交流合作，实现林业生产科学化。同时，按照相关技术标准，制定了森林营造、管护等方面的技术规范要求，保证森林城市建设标准和质量，从而保障了邹城森林城市规划的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38</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生态服务</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财政投资建设的森林公园、湿地公园以及各类城市公园、绿地原则上都应免费向公众开放，最大限度地让公众享受森林城市建设成果。</w:t>
            </w:r>
          </w:p>
        </w:tc>
        <w:tc>
          <w:tcPr>
            <w:tcW w:w="6271" w:type="dxa"/>
            <w:vAlign w:val="center"/>
          </w:tcPr>
          <w:p>
            <w:pPr>
              <w:pStyle w:val="19"/>
              <w:ind w:firstLine="0" w:firstLineChars="0"/>
              <w:rPr>
                <w:rFonts w:ascii="Times New Roman" w:hAnsi="Times New Roman" w:eastAsia="华文宋体" w:cs="Times New Roman"/>
                <w:bCs/>
                <w:color w:val="000000"/>
                <w:kern w:val="0"/>
                <w:szCs w:val="21"/>
              </w:rPr>
            </w:pPr>
            <w:r>
              <w:rPr>
                <w:rFonts w:ascii="Times New Roman" w:hAnsi="Times New Roman" w:eastAsia="华文宋体" w:cs="Times New Roman"/>
                <w:bCs/>
                <w:kern w:val="0"/>
                <w:szCs w:val="21"/>
              </w:rPr>
              <w:t>达标。</w:t>
            </w:r>
            <w:r>
              <w:rPr>
                <w:rFonts w:ascii="Times New Roman" w:hAnsi="Times New Roman" w:eastAsia="华文宋体" w:cs="Times New Roman"/>
                <w:bCs/>
                <w:color w:val="000000"/>
                <w:kern w:val="0"/>
                <w:szCs w:val="21"/>
              </w:rPr>
              <w:t>创森期间，邹城市政府最大限度地利用现有的生态资源，让市民充分享受生态环境建设的成果。太平国家湿地公园、香城省级湿地公园、北宿省级湿地公园等7个市级以上湿地公园；山东峄山国家森林公园、邹城市梨杭省级森林公园、邹城市凤凰山省级森林公园等6个市级以上森林公园；铁山公园、护驾山公园、铁西公园、唐王河公园、体育公园等城区公园均免费向市民开放。在城市绿化建设过程中，邹城市大力加强城市绿道、街心游园建设，为广大市民提供了绿色环保生态的健身休闲场所，城市森林人人建，创建成果人人享，最大限度地让公众享受森林城市建设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39</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森林资源和生态功能监测</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开展城市森林资源和生态功能监测，掌握森林资源的变化动态，核算城市森林的生态功能效益，为建设和发展城市森林提供科学依据。</w:t>
            </w:r>
          </w:p>
        </w:tc>
        <w:tc>
          <w:tcPr>
            <w:tcW w:w="6271" w:type="dxa"/>
            <w:vAlign w:val="center"/>
          </w:tcPr>
          <w:p>
            <w:pPr>
              <w:rPr>
                <w:rFonts w:ascii="Times New Roman" w:hAnsi="Times New Roman" w:eastAsia="华文宋体" w:cs="Times New Roman"/>
                <w:bCs/>
                <w:color w:val="000000"/>
                <w:kern w:val="0"/>
                <w:szCs w:val="21"/>
              </w:rPr>
            </w:pPr>
            <w:r>
              <w:rPr>
                <w:rFonts w:ascii="Times New Roman" w:hAnsi="Times New Roman" w:eastAsia="华文宋体" w:cs="Times New Roman"/>
                <w:bCs/>
                <w:kern w:val="0"/>
                <w:szCs w:val="21"/>
              </w:rPr>
              <w:t>达标。</w:t>
            </w:r>
            <w:r>
              <w:rPr>
                <w:rFonts w:ascii="Times New Roman" w:hAnsi="Times New Roman" w:eastAsia="华文宋体" w:cs="Times New Roman"/>
                <w:bCs/>
                <w:color w:val="000000"/>
                <w:kern w:val="0"/>
                <w:szCs w:val="21"/>
              </w:rPr>
              <w:t>邹城市建立了森林资源管理体系和森林资源监测体系，2017年完成了林地变更调查、林地卫片判读工作，建立全市林地“一张图”。开展了第九次森林资源清查工作，完成调查样地105个，掌握了森林资源的变化动态。邹城市及时进行森林资源建档更新，开展了邹城市森林资源综合功能动态评价，对邹城森林的生态功能 、社会功能、文化功能和经济功能进行综合评价。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315"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40</w:t>
            </w:r>
          </w:p>
        </w:tc>
        <w:tc>
          <w:tcPr>
            <w:tcW w:w="921" w:type="dxa"/>
            <w:vMerge w:val="continue"/>
            <w:vAlign w:val="center"/>
          </w:tcPr>
          <w:p>
            <w:pPr>
              <w:jc w:val="center"/>
              <w:rPr>
                <w:rFonts w:ascii="Times New Roman" w:hAnsi="Times New Roman" w:eastAsia="华文宋体" w:cs="Times New Roman"/>
                <w:bCs/>
                <w:kern w:val="0"/>
                <w:szCs w:val="21"/>
              </w:rPr>
            </w:pPr>
          </w:p>
        </w:tc>
        <w:tc>
          <w:tcPr>
            <w:tcW w:w="2770" w:type="dxa"/>
            <w:vAlign w:val="center"/>
          </w:tcPr>
          <w:p>
            <w:pPr>
              <w:jc w:val="center"/>
              <w:rPr>
                <w:rFonts w:ascii="Times New Roman" w:hAnsi="Times New Roman" w:eastAsia="华文宋体" w:cs="Times New Roman"/>
                <w:bCs/>
                <w:kern w:val="0"/>
                <w:szCs w:val="21"/>
              </w:rPr>
            </w:pPr>
            <w:r>
              <w:rPr>
                <w:rFonts w:ascii="Times New Roman" w:hAnsi="Times New Roman" w:eastAsia="华文宋体" w:cs="Times New Roman"/>
                <w:bCs/>
                <w:kern w:val="0"/>
                <w:szCs w:val="21"/>
              </w:rPr>
              <w:t>档案管理</w:t>
            </w:r>
          </w:p>
        </w:tc>
        <w:tc>
          <w:tcPr>
            <w:tcW w:w="2897"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城市森林资源管理档案完整、规范，相关技术图件齐备，实现科学化、信息化管理。</w:t>
            </w:r>
          </w:p>
        </w:tc>
        <w:tc>
          <w:tcPr>
            <w:tcW w:w="6271" w:type="dxa"/>
            <w:vAlign w:val="center"/>
          </w:tcPr>
          <w:p>
            <w:pPr>
              <w:jc w:val="left"/>
              <w:rPr>
                <w:rFonts w:ascii="Times New Roman" w:hAnsi="Times New Roman" w:eastAsia="华文宋体" w:cs="Times New Roman"/>
                <w:bCs/>
                <w:kern w:val="0"/>
                <w:szCs w:val="21"/>
              </w:rPr>
            </w:pPr>
            <w:r>
              <w:rPr>
                <w:rFonts w:ascii="Times New Roman" w:hAnsi="Times New Roman" w:eastAsia="华文宋体" w:cs="Times New Roman"/>
                <w:bCs/>
                <w:kern w:val="0"/>
                <w:szCs w:val="21"/>
              </w:rPr>
              <w:t>达标。创森以来，全市进一步加强森林城市建设档案的标准化、规范化管理，在完善制度、强化培训、提升硬件的基础上，建立了专门的城市森林创建和森林资源管理资料档案室。对开展创森活动以来形成的各种文字材料分门别类进行整理和归档，相关资料收集完整，全面真实地反映了邹城市森林城市的创建过程和创建成果。</w:t>
            </w:r>
          </w:p>
        </w:tc>
      </w:tr>
    </w:tbl>
    <w:p>
      <w:pPr>
        <w:rPr>
          <w:rFonts w:ascii="Times New Roman" w:hAnsi="Times New Roman" w:cs="Times New Roman"/>
        </w:rPr>
        <w:sectPr>
          <w:pgSz w:w="16838" w:h="11906" w:orient="landscape"/>
          <w:pgMar w:top="1797" w:right="1440" w:bottom="1797" w:left="1440" w:header="851" w:footer="992" w:gutter="0"/>
          <w:cols w:space="425" w:num="1"/>
          <w:docGrid w:type="linesAndChars" w:linePitch="312" w:charSpace="0"/>
        </w:sectPr>
      </w:pPr>
    </w:p>
    <w:p>
      <w:pPr>
        <w:pStyle w:val="3"/>
        <w:rPr>
          <w:rFonts w:cs="Times New Roman"/>
        </w:rPr>
      </w:pPr>
      <w:bookmarkStart w:id="3" w:name="_Toc519373536"/>
      <w:r>
        <w:rPr>
          <w:rFonts w:cs="Times New Roman"/>
        </w:rPr>
        <w:t>1 城市森林网络</w:t>
      </w:r>
      <w:bookmarkEnd w:id="3"/>
    </w:p>
    <w:p>
      <w:pPr>
        <w:pStyle w:val="4"/>
        <w:rPr>
          <w:rFonts w:cs="Times New Roman"/>
        </w:rPr>
      </w:pPr>
      <w:bookmarkStart w:id="4" w:name="_Toc519373537"/>
      <w:r>
        <w:rPr>
          <w:rFonts w:cs="Times New Roman"/>
        </w:rPr>
        <w:t>1.1 市域森林覆盖率</w:t>
      </w:r>
      <w:bookmarkEnd w:id="4"/>
    </w:p>
    <w:p>
      <w:pPr>
        <w:pStyle w:val="5"/>
        <w:rPr>
          <w:rFonts w:cs="Times New Roman"/>
        </w:rPr>
      </w:pPr>
      <w:r>
        <w:rPr>
          <w:rFonts w:cs="Times New Roman"/>
        </w:rPr>
        <w:t>1.1.1 指标要求</w:t>
      </w:r>
    </w:p>
    <w:p>
      <w:p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年降水量400-800毫米地区的城市市域森林覆率达到30％以上，且分布均匀，其中三分之二以上的区、县森林覆盖率应达到30％以上。</w:t>
      </w:r>
    </w:p>
    <w:p>
      <w:pPr>
        <w:pStyle w:val="5"/>
        <w:rPr>
          <w:rFonts w:cs="Times New Roman"/>
        </w:rPr>
      </w:pPr>
      <w:r>
        <w:rPr>
          <w:rFonts w:cs="Times New Roman"/>
        </w:rPr>
        <w:t>1.1.2 方法步骤</w:t>
      </w:r>
    </w:p>
    <w:p>
      <w:pPr>
        <w:ind w:firstLine="560" w:firstLineChars="200"/>
        <w:jc w:val="left"/>
        <w:rPr>
          <w:rFonts w:ascii="Times New Roman" w:hAnsi="Times New Roman" w:eastAsia="华文宋体" w:cs="Times New Roman"/>
          <w:sz w:val="28"/>
        </w:rPr>
      </w:pPr>
      <w:r>
        <w:rPr>
          <w:rFonts w:ascii="Times New Roman" w:hAnsi="Times New Roman" w:eastAsia="华文宋体" w:cs="Times New Roman"/>
          <w:sz w:val="28"/>
        </w:rPr>
        <w:t>根据《济宁市2017 年度林地变更调查暨森林资源动态监测工作</w:t>
      </w:r>
    </w:p>
    <w:p>
      <w:pPr>
        <w:jc w:val="left"/>
        <w:rPr>
          <w:rFonts w:ascii="Times New Roman" w:hAnsi="Times New Roman" w:eastAsia="华文宋体" w:cs="Times New Roman"/>
          <w:sz w:val="28"/>
          <w:szCs w:val="36"/>
        </w:rPr>
      </w:pPr>
      <w:r>
        <w:rPr>
          <w:rFonts w:ascii="Times New Roman" w:hAnsi="Times New Roman" w:eastAsia="华文宋体" w:cs="Times New Roman"/>
          <w:sz w:val="28"/>
        </w:rPr>
        <w:t>方案》，以森林资源调查技术规定为依据，以林地“一张图”小班区划边界和属性因子数据为基础，通过遥感判读区划、实地核实调查等技术手段，在林地年度变更的基础上开展森林资源补充调查。森林资源调查方法以实地调查为主，数据档案更新相结合的方式为辅。对开展经营活动而发生变化的小班进行重点调查，对实施封育管护、</w:t>
      </w:r>
      <w:r>
        <w:rPr>
          <w:rFonts w:ascii="Times New Roman" w:hAnsi="Times New Roman" w:eastAsia="华文宋体" w:cs="Times New Roman"/>
          <w:color w:val="FF0000"/>
          <w:sz w:val="28"/>
        </w:rPr>
        <w:t>人为活动较少的小班</w:t>
      </w:r>
      <w:r>
        <w:rPr>
          <w:rFonts w:ascii="Times New Roman" w:hAnsi="Times New Roman" w:eastAsia="华文宋体" w:cs="Times New Roman"/>
          <w:sz w:val="28"/>
        </w:rPr>
        <w:t>全面复核并进行数据更新。运用更新数据库和图面资料，汇总得出2017 年度邹城市森林资源档案更新结果。</w:t>
      </w:r>
    </w:p>
    <w:p>
      <w:pPr>
        <w:pStyle w:val="5"/>
        <w:rPr>
          <w:rFonts w:cs="Times New Roman"/>
        </w:rPr>
      </w:pPr>
      <w:r>
        <w:rPr>
          <w:rFonts w:cs="Times New Roman"/>
        </w:rPr>
        <w:t>1.1.3 自查结果</w:t>
      </w:r>
    </w:p>
    <w:p>
      <w:p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达标。自创建国家森林城市以来，邹城市委、市政府</w:t>
      </w:r>
      <w:r>
        <w:rPr>
          <w:rFonts w:hint="eastAsia" w:ascii="Times New Roman" w:hAnsi="Times New Roman" w:eastAsia="华文宋体" w:cs="Times New Roman"/>
          <w:color w:val="FF0000"/>
          <w:sz w:val="28"/>
          <w:szCs w:val="28"/>
          <w:lang w:val="en-US" w:eastAsia="zh-CN"/>
        </w:rPr>
        <w:t>始终秉持</w:t>
      </w:r>
      <w:r>
        <w:rPr>
          <w:rFonts w:ascii="Times New Roman" w:hAnsi="Times New Roman" w:eastAsia="华文宋体" w:cs="Times New Roman"/>
          <w:color w:val="FF0000"/>
          <w:sz w:val="28"/>
          <w:szCs w:val="28"/>
        </w:rPr>
        <w:t>“绿水青山就是金山银山”的绿色发展理念</w:t>
      </w:r>
      <w:r>
        <w:rPr>
          <w:rFonts w:ascii="Times New Roman" w:hAnsi="Times New Roman" w:eastAsia="华文宋体" w:cs="Times New Roman"/>
          <w:sz w:val="28"/>
          <w:szCs w:val="28"/>
        </w:rPr>
        <w:t>，围绕“建设国家森林城市”目标，大力实施了城市森林建设工程、山区综合治理工程、平原农田林网工程、道路绿化提升工程、水系绿化提升工程、</w:t>
      </w:r>
      <w:r>
        <w:rPr>
          <w:rFonts w:ascii="Times New Roman" w:hAnsi="Times New Roman" w:eastAsia="华文宋体" w:cs="Times New Roman"/>
          <w:color w:val="FF0000"/>
          <w:sz w:val="28"/>
          <w:szCs w:val="28"/>
        </w:rPr>
        <w:t>退耕</w:t>
      </w:r>
      <w:r>
        <w:rPr>
          <w:rFonts w:hint="eastAsia" w:ascii="Times New Roman" w:hAnsi="Times New Roman" w:eastAsia="华文宋体" w:cs="Times New Roman"/>
          <w:color w:val="FF0000"/>
          <w:sz w:val="28"/>
          <w:szCs w:val="28"/>
          <w:lang w:val="en-US" w:eastAsia="zh-CN"/>
        </w:rPr>
        <w:t>还林还果</w:t>
      </w:r>
      <w:r>
        <w:rPr>
          <w:rFonts w:ascii="Times New Roman" w:hAnsi="Times New Roman" w:eastAsia="华文宋体" w:cs="Times New Roman"/>
          <w:color w:val="FF0000"/>
          <w:sz w:val="28"/>
          <w:szCs w:val="28"/>
        </w:rPr>
        <w:t>工程、</w:t>
      </w:r>
      <w:r>
        <w:rPr>
          <w:rFonts w:ascii="Times New Roman" w:hAnsi="Times New Roman" w:eastAsia="华文宋体" w:cs="Times New Roman"/>
          <w:sz w:val="28"/>
          <w:szCs w:val="28"/>
        </w:rPr>
        <w:t>美丽乡村建设工程等重大工程，全市国土绿量不断增加，森林资源持续增长，森林覆盖率逐年提升，建成绿色邹城。</w:t>
      </w:r>
    </w:p>
    <w:p>
      <w:p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据统计计算，邹城市1981-2017年平均年降水量为689.8毫米，近五年降雨量分别是642.7毫米、717.3毫米、591.1毫米、866.8 毫米、711.4毫米。全市国土面积为161656.47公顷，到2017年底森林面积达到</w:t>
      </w:r>
      <w:r>
        <w:rPr>
          <w:rFonts w:ascii="Times New Roman" w:hAnsi="Times New Roman" w:eastAsia="华文宋体" w:cs="Times New Roman"/>
          <w:kern w:val="0"/>
          <w:sz w:val="28"/>
          <w:szCs w:val="28"/>
          <w:lang w:bidi="ar"/>
        </w:rPr>
        <w:t>57735</w:t>
      </w:r>
      <w:r>
        <w:rPr>
          <w:rFonts w:ascii="Times New Roman" w:hAnsi="Times New Roman" w:eastAsia="华文宋体" w:cs="Times New Roman"/>
          <w:sz w:val="28"/>
          <w:szCs w:val="28"/>
        </w:rPr>
        <w:t>公顷，其中有林地面积</w:t>
      </w:r>
      <w:r>
        <w:rPr>
          <w:rFonts w:ascii="Times New Roman" w:hAnsi="Times New Roman" w:eastAsia="华文宋体" w:cs="Times New Roman"/>
          <w:kern w:val="0"/>
          <w:sz w:val="28"/>
          <w:szCs w:val="28"/>
          <w:lang w:bidi="ar"/>
        </w:rPr>
        <w:t>51869.3</w:t>
      </w:r>
      <w:r>
        <w:rPr>
          <w:rFonts w:ascii="Times New Roman" w:hAnsi="Times New Roman" w:eastAsia="华文宋体" w:cs="Times New Roman"/>
          <w:sz w:val="28"/>
          <w:szCs w:val="28"/>
        </w:rPr>
        <w:t>公顷，国家特殊灌木林地面积</w:t>
      </w:r>
      <w:r>
        <w:rPr>
          <w:rFonts w:ascii="Times New Roman" w:hAnsi="Times New Roman" w:eastAsia="华文宋体" w:cs="Times New Roman"/>
          <w:kern w:val="0"/>
          <w:sz w:val="28"/>
          <w:szCs w:val="28"/>
          <w:lang w:bidi="ar"/>
        </w:rPr>
        <w:t>87.28</w:t>
      </w:r>
      <w:r>
        <w:rPr>
          <w:rFonts w:ascii="Times New Roman" w:hAnsi="Times New Roman" w:eastAsia="华文宋体" w:cs="Times New Roman"/>
          <w:sz w:val="28"/>
          <w:szCs w:val="28"/>
        </w:rPr>
        <w:t>公顷，农田林网折算片林面积</w:t>
      </w:r>
      <w:r>
        <w:rPr>
          <w:rFonts w:ascii="Times New Roman" w:hAnsi="Times New Roman" w:eastAsia="华文宋体" w:cs="Times New Roman"/>
          <w:kern w:val="0"/>
          <w:sz w:val="28"/>
          <w:szCs w:val="28"/>
          <w:lang w:bidi="ar"/>
        </w:rPr>
        <w:t>1020</w:t>
      </w:r>
      <w:r>
        <w:rPr>
          <w:rFonts w:ascii="Times New Roman" w:hAnsi="Times New Roman" w:eastAsia="华文宋体" w:cs="Times New Roman"/>
          <w:sz w:val="28"/>
          <w:szCs w:val="28"/>
        </w:rPr>
        <w:t>公顷，四旁林木折合片林面积</w:t>
      </w:r>
      <w:r>
        <w:rPr>
          <w:rFonts w:ascii="Times New Roman" w:hAnsi="Times New Roman" w:eastAsia="华文宋体" w:cs="Times New Roman"/>
          <w:kern w:val="0"/>
          <w:sz w:val="28"/>
          <w:szCs w:val="28"/>
          <w:lang w:bidi="ar"/>
        </w:rPr>
        <w:t>4758.42</w:t>
      </w:r>
      <w:r>
        <w:rPr>
          <w:rFonts w:ascii="Times New Roman" w:hAnsi="Times New Roman" w:eastAsia="华文宋体" w:cs="Times New Roman"/>
          <w:sz w:val="28"/>
          <w:szCs w:val="28"/>
        </w:rPr>
        <w:t>公顷，森林覆盖率达到35.71％，且分布均匀，其中三分之二以上的镇街森林覆盖率均达到30％以上。达到了要求。</w:t>
      </w:r>
    </w:p>
    <w:p>
      <w:pPr>
        <w:ind w:left="360"/>
        <w:jc w:val="center"/>
        <w:rPr>
          <w:rFonts w:ascii="Times New Roman" w:hAnsi="Times New Roman" w:eastAsia="华文宋体" w:cs="Times New Roman"/>
          <w:sz w:val="24"/>
        </w:rPr>
      </w:pPr>
      <w:r>
        <w:rPr>
          <w:rFonts w:ascii="Times New Roman" w:hAnsi="Times New Roman" w:eastAsia="华文宋体" w:cs="Times New Roman"/>
          <w:sz w:val="24"/>
        </w:rPr>
        <w:t>表1</w:t>
      </w:r>
      <w:r>
        <w:rPr>
          <w:rFonts w:hint="eastAsia" w:ascii="Times New Roman" w:hAnsi="Times New Roman" w:eastAsia="华文宋体" w:cs="Times New Roman"/>
          <w:sz w:val="24"/>
        </w:rPr>
        <w:t>.1</w:t>
      </w:r>
      <w:r>
        <w:rPr>
          <w:rFonts w:ascii="Times New Roman" w:hAnsi="Times New Roman" w:eastAsia="华文宋体" w:cs="Times New Roman"/>
          <w:sz w:val="24"/>
        </w:rPr>
        <w:t xml:space="preserve">-1   2017年邹城市森林覆盖率统计表    </w:t>
      </w:r>
    </w:p>
    <w:p>
      <w:pPr>
        <w:ind w:left="360"/>
        <w:jc w:val="right"/>
        <w:rPr>
          <w:rFonts w:ascii="Times New Roman" w:hAnsi="Times New Roman" w:eastAsia="华文宋体" w:cs="Times New Roman"/>
          <w:sz w:val="24"/>
        </w:rPr>
      </w:pPr>
      <w:r>
        <w:rPr>
          <w:rFonts w:ascii="Times New Roman" w:hAnsi="Times New Roman" w:eastAsia="华文宋体" w:cs="Times New Roman"/>
          <w:sz w:val="24"/>
        </w:rPr>
        <w:t>单位：公顷、%</w:t>
      </w:r>
    </w:p>
    <w:tbl>
      <w:tblPr>
        <w:tblStyle w:val="15"/>
        <w:tblW w:w="8565" w:type="dxa"/>
        <w:tblInd w:w="0" w:type="dxa"/>
        <w:tblLayout w:type="fixed"/>
        <w:tblCellMar>
          <w:top w:w="15" w:type="dxa"/>
          <w:left w:w="15" w:type="dxa"/>
          <w:bottom w:w="15" w:type="dxa"/>
          <w:right w:w="15" w:type="dxa"/>
        </w:tblCellMar>
      </w:tblPr>
      <w:tblGrid>
        <w:gridCol w:w="1291"/>
        <w:gridCol w:w="1134"/>
        <w:gridCol w:w="1134"/>
        <w:gridCol w:w="992"/>
        <w:gridCol w:w="1134"/>
        <w:gridCol w:w="993"/>
        <w:gridCol w:w="992"/>
        <w:gridCol w:w="895"/>
      </w:tblGrid>
      <w:tr>
        <w:tblPrEx>
          <w:tblLayout w:type="fixed"/>
          <w:tblCellMar>
            <w:top w:w="15" w:type="dxa"/>
            <w:left w:w="15" w:type="dxa"/>
            <w:bottom w:w="15" w:type="dxa"/>
            <w:right w:w="15" w:type="dxa"/>
          </w:tblCellMar>
        </w:tblPrEx>
        <w:trPr>
          <w:trHeight w:val="285" w:hRule="atLeast"/>
          <w:tblHeader/>
        </w:trPr>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统计单位</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国土面积</w:t>
            </w:r>
          </w:p>
        </w:tc>
        <w:tc>
          <w:tcPr>
            <w:tcW w:w="52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森林面积</w:t>
            </w:r>
          </w:p>
        </w:tc>
        <w:tc>
          <w:tcPr>
            <w:tcW w:w="89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4"/>
                <w:lang w:bidi="ar"/>
              </w:rPr>
            </w:pPr>
            <w:r>
              <w:rPr>
                <w:rFonts w:ascii="Times New Roman" w:hAnsi="Times New Roman" w:eastAsia="华文宋体" w:cs="Times New Roman"/>
                <w:color w:val="000000"/>
                <w:kern w:val="0"/>
                <w:sz w:val="24"/>
                <w:lang w:bidi="ar"/>
              </w:rPr>
              <w:t>森林</w:t>
            </w:r>
          </w:p>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覆盖率</w:t>
            </w:r>
          </w:p>
        </w:tc>
      </w:tr>
      <w:tr>
        <w:tblPrEx>
          <w:tblLayout w:type="fixed"/>
          <w:tblCellMar>
            <w:top w:w="15" w:type="dxa"/>
            <w:left w:w="15" w:type="dxa"/>
            <w:bottom w:w="15" w:type="dxa"/>
            <w:right w:w="15" w:type="dxa"/>
          </w:tblCellMar>
        </w:tblPrEx>
        <w:trPr>
          <w:trHeight w:val="285" w:hRule="atLeast"/>
          <w:tblHead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合计</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有林地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特灌林地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四旁折算</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4"/>
                <w:lang w:bidi="ar"/>
              </w:rPr>
            </w:pPr>
            <w:r>
              <w:rPr>
                <w:rFonts w:ascii="Times New Roman" w:hAnsi="Times New Roman" w:eastAsia="华文宋体" w:cs="Times New Roman"/>
                <w:color w:val="000000"/>
                <w:kern w:val="0"/>
                <w:sz w:val="24"/>
                <w:lang w:bidi="ar"/>
              </w:rPr>
              <w:t>农田林网</w:t>
            </w:r>
          </w:p>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折实</w:t>
            </w:r>
          </w:p>
        </w:tc>
        <w:tc>
          <w:tcPr>
            <w:tcW w:w="895"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
                <w:bCs/>
                <w:color w:val="000000"/>
                <w:sz w:val="24"/>
              </w:rPr>
            </w:pPr>
            <w:r>
              <w:rPr>
                <w:rFonts w:ascii="Times New Roman" w:hAnsi="Times New Roman" w:eastAsia="华文宋体" w:cs="Times New Roman"/>
                <w:b/>
                <w:bCs/>
                <w:color w:val="000000"/>
                <w:kern w:val="0"/>
                <w:sz w:val="24"/>
                <w:lang w:bidi="ar"/>
              </w:rPr>
              <w:t>邹城市</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
                <w:bCs/>
                <w:color w:val="000000"/>
                <w:sz w:val="24"/>
              </w:rPr>
            </w:pPr>
            <w:r>
              <w:rPr>
                <w:rFonts w:ascii="Times New Roman" w:hAnsi="Times New Roman" w:eastAsia="华文宋体" w:cs="Times New Roman"/>
                <w:b/>
                <w:bCs/>
                <w:color w:val="000000"/>
                <w:kern w:val="0"/>
                <w:sz w:val="24"/>
                <w:lang w:bidi="ar"/>
              </w:rPr>
              <w:t>161656.47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
                <w:bCs/>
                <w:color w:val="000000"/>
                <w:sz w:val="24"/>
              </w:rPr>
            </w:pPr>
            <w:r>
              <w:rPr>
                <w:rFonts w:ascii="Times New Roman" w:hAnsi="Times New Roman" w:eastAsia="华文宋体" w:cs="Times New Roman"/>
                <w:b/>
                <w:bCs/>
                <w:color w:val="000000"/>
                <w:kern w:val="0"/>
                <w:sz w:val="24"/>
                <w:lang w:bidi="ar"/>
              </w:rPr>
              <w:t>57735.00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
                <w:bCs/>
                <w:color w:val="000000"/>
                <w:sz w:val="24"/>
              </w:rPr>
            </w:pPr>
            <w:r>
              <w:rPr>
                <w:rFonts w:ascii="Times New Roman" w:hAnsi="Times New Roman" w:eastAsia="华文宋体" w:cs="Times New Roman"/>
                <w:b/>
                <w:bCs/>
                <w:color w:val="000000"/>
                <w:kern w:val="0"/>
                <w:sz w:val="24"/>
                <w:lang w:bidi="ar"/>
              </w:rPr>
              <w:t>51869.3</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
                <w:bCs/>
                <w:color w:val="000000"/>
                <w:sz w:val="24"/>
              </w:rPr>
            </w:pPr>
            <w:r>
              <w:rPr>
                <w:rFonts w:ascii="Times New Roman" w:hAnsi="Times New Roman" w:eastAsia="华文宋体" w:cs="Times New Roman"/>
                <w:b/>
                <w:bCs/>
                <w:color w:val="000000"/>
                <w:kern w:val="0"/>
                <w:sz w:val="24"/>
                <w:lang w:bidi="ar"/>
              </w:rPr>
              <w:t>87.28</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
                <w:bCs/>
                <w:color w:val="000000"/>
                <w:sz w:val="24"/>
              </w:rPr>
            </w:pPr>
            <w:r>
              <w:rPr>
                <w:rFonts w:ascii="Times New Roman" w:hAnsi="Times New Roman" w:eastAsia="华文宋体" w:cs="Times New Roman"/>
                <w:b/>
                <w:bCs/>
                <w:color w:val="000000"/>
                <w:kern w:val="0"/>
                <w:sz w:val="24"/>
                <w:lang w:bidi="ar"/>
              </w:rPr>
              <w:t>4758.42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
                <w:bCs/>
                <w:color w:val="000000"/>
                <w:sz w:val="24"/>
              </w:rPr>
            </w:pPr>
            <w:r>
              <w:rPr>
                <w:rFonts w:ascii="Times New Roman" w:hAnsi="Times New Roman" w:eastAsia="华文宋体" w:cs="Times New Roman"/>
                <w:b/>
                <w:bCs/>
                <w:color w:val="000000"/>
                <w:kern w:val="0"/>
                <w:sz w:val="24"/>
                <w:lang w:bidi="ar"/>
              </w:rPr>
              <w:t>1020.00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
                <w:bCs/>
                <w:color w:val="000000"/>
                <w:sz w:val="24"/>
              </w:rPr>
            </w:pPr>
            <w:r>
              <w:rPr>
                <w:rFonts w:ascii="Times New Roman" w:hAnsi="Times New Roman" w:eastAsia="华文宋体" w:cs="Times New Roman"/>
                <w:b/>
                <w:bCs/>
                <w:color w:val="000000"/>
                <w:kern w:val="0"/>
                <w:sz w:val="24"/>
                <w:lang w:bidi="ar"/>
              </w:rPr>
              <w:t>35.71</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峄山镇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9403.07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3375.09</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3126.66</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198.83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49.60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35.89</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看庄镇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7312.37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2619.33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2428.76</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157.27</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33.30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35.82</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香城镇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17575.47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6152.61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5753.95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0.55</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368.31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29.80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35.01</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张庄镇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17265.29</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6512.81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6153.92</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2.69</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356.2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37.72</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城前镇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19099.50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7038.98</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6608.33</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430.65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36.85</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田黄镇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10256.04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4040.11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3756.13</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50.9</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233.08</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39.39</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大束镇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14634.40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5234.07</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4917.28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270.39</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46.40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35.77</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中心店镇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9022.98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3054.63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2693.12</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212.41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149.10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33.85</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北宿镇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9442.80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2544.78</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2219.84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198.74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126.20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26.95</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唐村镇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3656.53</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1386.84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1137.02</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170.22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79.60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37.93</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太平镇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13057.53</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3822.22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3209.47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414.35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198.40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29.27</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郭里镇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8814.12</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3519.43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3170.64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14.96</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212.43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121.40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39.93</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石墙镇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14404.23</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5006.39</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4527.95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18.18</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333.76</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126.50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34.76</w:t>
            </w:r>
          </w:p>
        </w:tc>
      </w:tr>
      <w:tr>
        <w:tblPrEx>
          <w:tblLayout w:type="fixed"/>
          <w:tblCellMar>
            <w:top w:w="15" w:type="dxa"/>
            <w:left w:w="15" w:type="dxa"/>
            <w:bottom w:w="15" w:type="dxa"/>
            <w:right w:w="15" w:type="dxa"/>
          </w:tblCellMar>
        </w:tblPrEx>
        <w:trPr>
          <w:trHeight w:val="690"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城区三街道</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7037.37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2798.97</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1537.49</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1201.78</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59.70</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39.77</w:t>
            </w:r>
          </w:p>
        </w:tc>
      </w:tr>
      <w:tr>
        <w:tblPrEx>
          <w:tblLayout w:type="fixed"/>
          <w:tblCellMar>
            <w:top w:w="15" w:type="dxa"/>
            <w:left w:w="15" w:type="dxa"/>
            <w:bottom w:w="15" w:type="dxa"/>
            <w:right w:w="15" w:type="dxa"/>
          </w:tblCellMar>
        </w:tblPrEx>
        <w:trPr>
          <w:trHeight w:val="345" w:hRule="atLeast"/>
        </w:trPr>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国有林场</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674.77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628.74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628.74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4"/>
              </w:rPr>
            </w:pPr>
            <w:r>
              <w:rPr>
                <w:rFonts w:ascii="Times New Roman" w:hAnsi="Times New Roman" w:eastAsia="华文宋体" w:cs="Times New Roman"/>
                <w:color w:val="000000"/>
                <w:sz w:val="24"/>
              </w:rPr>
              <w:t>-</w:t>
            </w:r>
          </w:p>
        </w:tc>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4"/>
              </w:rPr>
            </w:pPr>
            <w:r>
              <w:rPr>
                <w:rFonts w:ascii="Times New Roman" w:hAnsi="Times New Roman" w:eastAsia="华文宋体" w:cs="Times New Roman"/>
                <w:color w:val="000000"/>
                <w:kern w:val="0"/>
                <w:sz w:val="24"/>
                <w:lang w:bidi="ar"/>
              </w:rPr>
              <w:t>93.18</w:t>
            </w:r>
          </w:p>
        </w:tc>
      </w:tr>
    </w:tbl>
    <w:p>
      <w:pPr>
        <w:pStyle w:val="5"/>
        <w:rPr>
          <w:rFonts w:cs="Times New Roman"/>
        </w:rPr>
      </w:pPr>
      <w:r>
        <w:rPr>
          <w:rFonts w:cs="Times New Roman"/>
        </w:rPr>
        <w:t>1.1.4 支撑材料</w:t>
      </w:r>
    </w:p>
    <w:p>
      <w:pPr>
        <w:numPr>
          <w:ilvl w:val="0"/>
          <w:numId w:val="2"/>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numPr>
          <w:ilvl w:val="0"/>
          <w:numId w:val="2"/>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邹城市气象局《1981-2017年降水资料》</w:t>
      </w:r>
    </w:p>
    <w:p>
      <w:pPr>
        <w:numPr>
          <w:ilvl w:val="0"/>
          <w:numId w:val="2"/>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邹城市国土面积情况统计表</w:t>
      </w:r>
    </w:p>
    <w:p>
      <w:pPr>
        <w:numPr>
          <w:ilvl w:val="0"/>
          <w:numId w:val="2"/>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2017年邹城市各镇街森林覆盖率统计表</w:t>
      </w:r>
    </w:p>
    <w:p>
      <w:pPr>
        <w:numPr>
          <w:ilvl w:val="0"/>
          <w:numId w:val="2"/>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中共邹城市委 邹城市人民政府关于创建国家森林城市加快生态美丽邹城建设的意见（邹发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5号）</w:t>
      </w:r>
    </w:p>
    <w:p>
      <w:pPr>
        <w:numPr>
          <w:ilvl w:val="0"/>
          <w:numId w:val="2"/>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rPr>
          <w:rFonts w:cs="Times New Roman"/>
        </w:rPr>
      </w:pPr>
      <w:bookmarkStart w:id="5" w:name="_Toc519373538"/>
      <w:r>
        <w:rPr>
          <w:rFonts w:cs="Times New Roman"/>
        </w:rPr>
        <w:t>1.2 新造林面积</w:t>
      </w:r>
      <w:bookmarkEnd w:id="5"/>
    </w:p>
    <w:p>
      <w:pPr>
        <w:pStyle w:val="5"/>
        <w:rPr>
          <w:rFonts w:cs="Times New Roman"/>
        </w:rPr>
      </w:pPr>
      <w:r>
        <w:rPr>
          <w:rFonts w:cs="Times New Roman"/>
        </w:rPr>
        <w:t>1.2.1 指标要求</w:t>
      </w:r>
    </w:p>
    <w:p>
      <w:p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自创建以来，平均每年完成新造林面积占市域面积的 0.5%以上。</w:t>
      </w:r>
    </w:p>
    <w:p>
      <w:pPr>
        <w:pStyle w:val="5"/>
        <w:rPr>
          <w:rFonts w:cs="Times New Roman"/>
        </w:rPr>
      </w:pPr>
      <w:r>
        <w:rPr>
          <w:rFonts w:cs="Times New Roman"/>
        </w:rPr>
        <w:t>1.2.2 方法步骤</w:t>
      </w:r>
    </w:p>
    <w:p>
      <w:pPr>
        <w:ind w:firstLine="560" w:firstLineChars="200"/>
        <w:jc w:val="left"/>
        <w:rPr>
          <w:rFonts w:ascii="Times New Roman" w:hAnsi="Times New Roman" w:eastAsia="华文宋体" w:cs="Times New Roman"/>
          <w:sz w:val="28"/>
        </w:rPr>
      </w:pPr>
      <w:r>
        <w:rPr>
          <w:rFonts w:ascii="Times New Roman" w:hAnsi="Times New Roman" w:eastAsia="华文宋体" w:cs="Times New Roman"/>
          <w:sz w:val="28"/>
        </w:rPr>
        <w:t>收集邹城市2016-2018年营造林自查验收材料及核查通报。以济宁市与邹城市政府创森目标任务计划为基本依据，根据济宁市林业局下发的全市2016-2018年营造林核查通报，统计3年来新增造林面积。</w:t>
      </w:r>
    </w:p>
    <w:p>
      <w:pPr>
        <w:ind w:firstLine="560" w:firstLineChars="200"/>
        <w:jc w:val="left"/>
        <w:rPr>
          <w:rFonts w:ascii="Times New Roman" w:hAnsi="Times New Roman" w:eastAsia="华文宋体" w:cs="Times New Roman"/>
          <w:sz w:val="28"/>
        </w:rPr>
      </w:pPr>
      <w:r>
        <w:rPr>
          <w:rFonts w:ascii="Times New Roman" w:hAnsi="Times New Roman" w:eastAsia="华文宋体" w:cs="Times New Roman"/>
          <w:sz w:val="28"/>
        </w:rPr>
        <w:t>对邹城市2016 -2018 年新造林小班进行抽样调查。抽样方法为随机抽取不同年度的造林小班，至实地核实造林实绩，检查林分生</w:t>
      </w:r>
    </w:p>
    <w:p>
      <w:pPr>
        <w:spacing w:line="360" w:lineRule="auto"/>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sz w:val="28"/>
        </w:rPr>
        <w:t>长和林地管理情况，并对抽样小班进行拍照留档。</w:t>
      </w:r>
    </w:p>
    <w:p>
      <w:pPr>
        <w:pStyle w:val="5"/>
        <w:rPr>
          <w:rFonts w:cs="Times New Roman"/>
        </w:rPr>
      </w:pPr>
      <w:r>
        <w:rPr>
          <w:rFonts w:cs="Times New Roman"/>
        </w:rPr>
        <w:t>1.2.3 自查结果</w:t>
      </w:r>
    </w:p>
    <w:p>
      <w:pPr>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达标。自创建国家森林城市以来，邹城市大力开展实施荒山造林、退耕还林、绿色通道等各项绿化造林工程。</w:t>
      </w:r>
      <w:r>
        <w:rPr>
          <w:rFonts w:ascii="Times New Roman" w:hAnsi="Times New Roman" w:eastAsia="华文宋体" w:cs="Times New Roman"/>
          <w:sz w:val="28"/>
        </w:rPr>
        <w:t>在全市</w:t>
      </w:r>
      <w:r>
        <w:rPr>
          <w:rFonts w:hint="eastAsia" w:ascii="Times New Roman" w:hAnsi="Times New Roman" w:eastAsia="华文宋体" w:cs="Times New Roman"/>
          <w:color w:val="FF0000"/>
          <w:sz w:val="28"/>
          <w:lang w:val="en-US" w:eastAsia="zh-CN"/>
        </w:rPr>
        <w:t>实施建设</w:t>
      </w:r>
      <w:r>
        <w:rPr>
          <w:rFonts w:ascii="Times New Roman" w:hAnsi="Times New Roman" w:eastAsia="华文宋体" w:cs="Times New Roman"/>
          <w:sz w:val="28"/>
        </w:rPr>
        <w:t>集林果生产、观光采摘、生态体验、休闲旅游为一体的“生态花果园”等重点退耕还林工程，主要以大樱桃、核桃、猪牙皂等邹城市特色树种为主，实施退耕还林3003.60公顷；荒山绿化工程大力推行“政府投入、社会招标、专业队工程造林”模式，完成了峄山景区周围</w:t>
      </w:r>
      <w:r>
        <w:rPr>
          <w:rFonts w:ascii="Times New Roman" w:hAnsi="Times New Roman" w:eastAsia="华文宋体" w:cs="Times New Roman"/>
          <w:color w:val="FF0000"/>
          <w:sz w:val="28"/>
        </w:rPr>
        <w:t>大小牙山、</w:t>
      </w:r>
      <w:r>
        <w:rPr>
          <w:rFonts w:ascii="Times New Roman" w:hAnsi="Times New Roman" w:eastAsia="华文宋体" w:cs="Times New Roman"/>
          <w:sz w:val="28"/>
        </w:rPr>
        <w:t>上九山等荒山绿化示范工程，共实施荒山绿化1094.30公顷；除此以外邹城主要以国省道、新建县乡主干道路两侧和泗河、白马河等主要河流两侧，高标准新建林带及其他片林482.20公顷</w:t>
      </w:r>
      <w:r>
        <w:rPr>
          <w:rFonts w:ascii="Times New Roman" w:hAnsi="Times New Roman" w:eastAsia="华文宋体" w:cs="Times New Roman"/>
          <w:sz w:val="28"/>
          <w:szCs w:val="28"/>
        </w:rPr>
        <w:t xml:space="preserve">。邹城市2016年新造林面积为2972 </w:t>
      </w:r>
      <w:r>
        <w:rPr>
          <w:rFonts w:ascii="Times New Roman" w:hAnsi="Times New Roman" w:eastAsia="华文宋体" w:cs="Times New Roman"/>
          <w:sz w:val="28"/>
        </w:rPr>
        <w:t>公顷</w:t>
      </w:r>
      <w:r>
        <w:rPr>
          <w:rFonts w:ascii="Times New Roman" w:hAnsi="Times New Roman" w:eastAsia="华文宋体" w:cs="Times New Roman"/>
          <w:sz w:val="28"/>
          <w:szCs w:val="28"/>
        </w:rPr>
        <w:t>，占市域面积的1.84%；2017年新造林面积为884</w:t>
      </w:r>
      <w:r>
        <w:rPr>
          <w:rFonts w:ascii="Times New Roman" w:hAnsi="Times New Roman" w:eastAsia="华文宋体" w:cs="Times New Roman"/>
          <w:sz w:val="28"/>
        </w:rPr>
        <w:t>公顷</w:t>
      </w:r>
      <w:r>
        <w:rPr>
          <w:rFonts w:ascii="Times New Roman" w:hAnsi="Times New Roman" w:eastAsia="华文宋体" w:cs="Times New Roman"/>
          <w:sz w:val="28"/>
          <w:szCs w:val="28"/>
        </w:rPr>
        <w:t>，占市域面积的0.55%；2018年春季新造林面积为724.1</w:t>
      </w:r>
      <w:r>
        <w:rPr>
          <w:rFonts w:ascii="Times New Roman" w:hAnsi="Times New Roman" w:eastAsia="华文宋体" w:cs="Times New Roman"/>
          <w:sz w:val="28"/>
        </w:rPr>
        <w:t>公顷</w:t>
      </w:r>
      <w:r>
        <w:rPr>
          <w:rFonts w:ascii="Times New Roman" w:hAnsi="Times New Roman" w:eastAsia="华文宋体" w:cs="Times New Roman"/>
          <w:sz w:val="28"/>
          <w:szCs w:val="28"/>
        </w:rPr>
        <w:t>，占市域面积的0.45%；邹城市2016-2018年平均每年新造林面积占市域面积的0.94%。达到《国家森林城市评价指标》要求。</w:t>
      </w:r>
    </w:p>
    <w:p>
      <w:pPr>
        <w:widowControl/>
        <w:jc w:val="left"/>
        <w:rPr>
          <w:rFonts w:ascii="Times New Roman" w:hAnsi="Times New Roman" w:eastAsia="华文宋体" w:cs="Times New Roman"/>
          <w:sz w:val="24"/>
        </w:rPr>
      </w:pPr>
      <w:r>
        <w:rPr>
          <w:rFonts w:ascii="Times New Roman" w:hAnsi="Times New Roman" w:eastAsia="华文宋体" w:cs="Times New Roman"/>
          <w:sz w:val="24"/>
        </w:rPr>
        <w:br w:type="page"/>
      </w:r>
    </w:p>
    <w:p>
      <w:pPr>
        <w:ind w:left="360"/>
        <w:jc w:val="center"/>
        <w:rPr>
          <w:rFonts w:ascii="Times New Roman" w:hAnsi="Times New Roman" w:eastAsia="华文宋体" w:cs="Times New Roman"/>
          <w:sz w:val="24"/>
        </w:rPr>
      </w:pPr>
      <w:r>
        <w:rPr>
          <w:rFonts w:ascii="Times New Roman" w:hAnsi="Times New Roman" w:eastAsia="华文宋体" w:cs="Times New Roman"/>
          <w:sz w:val="24"/>
        </w:rPr>
        <w:t>表</w:t>
      </w:r>
      <w:r>
        <w:rPr>
          <w:rFonts w:hint="eastAsia" w:ascii="Times New Roman" w:hAnsi="Times New Roman" w:eastAsia="华文宋体" w:cs="Times New Roman"/>
          <w:sz w:val="24"/>
        </w:rPr>
        <w:t>1.</w:t>
      </w:r>
      <w:r>
        <w:rPr>
          <w:rFonts w:ascii="Times New Roman" w:hAnsi="Times New Roman" w:eastAsia="华文宋体" w:cs="Times New Roman"/>
          <w:sz w:val="24"/>
        </w:rPr>
        <w:t xml:space="preserve">2-1   2016-2018年邹城市新造林面积统计表    </w:t>
      </w:r>
    </w:p>
    <w:p>
      <w:pPr>
        <w:ind w:left="360"/>
        <w:jc w:val="right"/>
        <w:rPr>
          <w:rFonts w:ascii="Times New Roman" w:hAnsi="Times New Roman" w:eastAsia="华文宋体" w:cs="Times New Roman"/>
          <w:sz w:val="28"/>
          <w:szCs w:val="28"/>
        </w:rPr>
      </w:pPr>
      <w:r>
        <w:rPr>
          <w:rFonts w:ascii="Times New Roman" w:hAnsi="Times New Roman" w:eastAsia="华文宋体" w:cs="Times New Roman"/>
          <w:sz w:val="24"/>
        </w:rPr>
        <w:t>单位：公顷</w:t>
      </w:r>
    </w:p>
    <w:tbl>
      <w:tblPr>
        <w:tblStyle w:val="15"/>
        <w:tblW w:w="833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
      <w:tblGrid>
        <w:gridCol w:w="1516"/>
        <w:gridCol w:w="1364"/>
        <w:gridCol w:w="1364"/>
        <w:gridCol w:w="1364"/>
        <w:gridCol w:w="1364"/>
        <w:gridCol w:w="136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blHeader/>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2"/>
              </w:rPr>
            </w:pPr>
            <w:r>
              <w:rPr>
                <w:rFonts w:ascii="Times New Roman" w:hAnsi="Times New Roman" w:eastAsia="华文宋体" w:cs="Times New Roman"/>
                <w:color w:val="auto"/>
                <w:kern w:val="0"/>
                <w:sz w:val="22"/>
                <w:lang w:bidi="ar"/>
              </w:rPr>
              <w:t>统计单位</w:t>
            </w:r>
          </w:p>
        </w:tc>
        <w:tc>
          <w:tcPr>
            <w:tcW w:w="1364"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2"/>
              </w:rPr>
            </w:pPr>
            <w:r>
              <w:rPr>
                <w:rFonts w:ascii="Times New Roman" w:hAnsi="Times New Roman" w:eastAsia="华文宋体" w:cs="Times New Roman"/>
                <w:color w:val="auto"/>
                <w:kern w:val="0"/>
                <w:sz w:val="22"/>
                <w:lang w:bidi="ar"/>
              </w:rPr>
              <w:t>年份</w:t>
            </w:r>
          </w:p>
        </w:tc>
        <w:tc>
          <w:tcPr>
            <w:tcW w:w="5456" w:type="dxa"/>
            <w:gridSpan w:val="4"/>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2"/>
              </w:rPr>
            </w:pPr>
            <w:r>
              <w:rPr>
                <w:rFonts w:ascii="Times New Roman" w:hAnsi="Times New Roman" w:eastAsia="华文宋体" w:cs="Times New Roman"/>
                <w:color w:val="auto"/>
                <w:kern w:val="0"/>
                <w:sz w:val="22"/>
                <w:lang w:bidi="ar"/>
              </w:rPr>
              <w:t>新造林面积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blHeader/>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2"/>
              </w:rPr>
            </w:pPr>
          </w:p>
        </w:tc>
        <w:tc>
          <w:tcPr>
            <w:tcW w:w="1364"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2"/>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2"/>
              </w:rPr>
            </w:pPr>
            <w:r>
              <w:rPr>
                <w:rFonts w:ascii="Times New Roman" w:hAnsi="Times New Roman" w:eastAsia="华文宋体" w:cs="Times New Roman"/>
                <w:color w:val="auto"/>
                <w:kern w:val="0"/>
                <w:sz w:val="22"/>
                <w:lang w:bidi="ar"/>
              </w:rPr>
              <w:t>合计</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2"/>
              </w:rPr>
            </w:pPr>
            <w:r>
              <w:rPr>
                <w:rFonts w:ascii="Times New Roman" w:hAnsi="Times New Roman" w:eastAsia="华文宋体" w:cs="Times New Roman"/>
                <w:color w:val="auto"/>
                <w:kern w:val="0"/>
                <w:sz w:val="22"/>
                <w:lang w:bidi="ar"/>
              </w:rPr>
              <w:t>荒山造林</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2"/>
              </w:rPr>
            </w:pPr>
            <w:r>
              <w:rPr>
                <w:rFonts w:ascii="Times New Roman" w:hAnsi="Times New Roman" w:eastAsia="华文宋体" w:cs="Times New Roman"/>
                <w:color w:val="auto"/>
                <w:kern w:val="0"/>
                <w:sz w:val="22"/>
                <w:lang w:bidi="ar"/>
              </w:rPr>
              <w:t>退耕还林</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2"/>
              </w:rPr>
            </w:pPr>
            <w:r>
              <w:rPr>
                <w:rFonts w:ascii="Times New Roman" w:hAnsi="Times New Roman" w:eastAsia="华文宋体" w:cs="Times New Roman"/>
                <w:color w:val="auto"/>
                <w:kern w:val="0"/>
                <w:sz w:val="22"/>
                <w:lang w:bidi="ar"/>
              </w:rPr>
              <w:t>其他造林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邹城市</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2972</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651.8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2113.5</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206.7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b/>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884</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357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476.9</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50.1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b/>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724.1</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85.5</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413.2</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b/>
                <w:color w:val="auto"/>
                <w:sz w:val="24"/>
                <w:szCs w:val="24"/>
              </w:rPr>
            </w:pPr>
            <w:r>
              <w:rPr>
                <w:rFonts w:ascii="Times New Roman" w:hAnsi="Times New Roman" w:eastAsia="华文宋体" w:cs="Times New Roman"/>
                <w:b/>
                <w:color w:val="auto"/>
                <w:kern w:val="0"/>
                <w:sz w:val="24"/>
                <w:szCs w:val="24"/>
                <w:lang w:bidi="ar"/>
              </w:rPr>
              <w:t>225.4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峄山镇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248.5</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61.4</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187.1</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113.4</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109.7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3.7</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160.4</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6.5</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153.9</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看庄镇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250</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19.5</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230.5</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17.4</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17.4</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香城镇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270.5</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51.9</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214.3</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4.3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50.1</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50.1</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82.8</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66.2</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16.6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张庄镇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614.2</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116.7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471.4</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26.1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6.2</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6.2</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72.5</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45.5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城前镇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380.9</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51.8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297.3</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31.8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236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31.3</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204.7</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46</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21.2</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24.8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田黄镇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310</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66.8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243.2</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140.1</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5.2</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133</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3.9</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大束镇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329.9</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71.2</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258.7</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78.6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13.5</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65.1</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29.8</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22.9</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FF0000"/>
                <w:kern w:val="0"/>
                <w:sz w:val="24"/>
                <w:szCs w:val="24"/>
                <w:lang w:bidi="ar"/>
              </w:rPr>
              <w:t>中心</w:t>
            </w:r>
            <w:r>
              <w:rPr>
                <w:rFonts w:hint="eastAsia" w:ascii="Times New Roman" w:hAnsi="Times New Roman" w:eastAsia="华文宋体" w:cs="Times New Roman"/>
                <w:color w:val="FF0000"/>
                <w:kern w:val="0"/>
                <w:sz w:val="24"/>
                <w:szCs w:val="24"/>
                <w:lang w:val="en-US" w:eastAsia="zh-CN" w:bidi="ar"/>
              </w:rPr>
              <w:t>店</w:t>
            </w:r>
            <w:r>
              <w:rPr>
                <w:rFonts w:ascii="Times New Roman" w:hAnsi="Times New Roman" w:eastAsia="华文宋体" w:cs="Times New Roman"/>
                <w:color w:val="FF0000"/>
                <w:kern w:val="0"/>
                <w:sz w:val="24"/>
                <w:szCs w:val="24"/>
                <w:lang w:bidi="ar"/>
              </w:rPr>
              <w:t>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14.9</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14.9</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29.4</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29.4</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28.6</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北宿镇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25.8</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25.8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17.3</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1.2</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16.1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40</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487"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唐村镇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43.1</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32.9</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0</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太平镇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104</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29.9</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29.9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69.2</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69.2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郭里镇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173.1</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63.7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104.9</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4.5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46.3</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4.3</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39.8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64.2</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26.7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36.4</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石墙镇</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207.1</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148.8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58.3</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113</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113</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钢山街道</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9.1</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2.3</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restart"/>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千泉街道</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2016</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2017</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6.3</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6.3</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170" w:hRule="atLeast"/>
        </w:trPr>
        <w:tc>
          <w:tcPr>
            <w:tcW w:w="1516" w:type="dxa"/>
            <w:vMerge w:val="continue"/>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2018</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117.6</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52.3</w:t>
            </w:r>
          </w:p>
        </w:tc>
        <w:tc>
          <w:tcPr>
            <w:tcW w:w="1364"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auto"/>
                <w:sz w:val="24"/>
                <w:szCs w:val="24"/>
              </w:rPr>
            </w:pPr>
            <w:r>
              <w:rPr>
                <w:rFonts w:ascii="Times New Roman" w:hAnsi="Times New Roman" w:eastAsia="华文宋体" w:cs="Times New Roman"/>
                <w:color w:val="auto"/>
                <w:kern w:val="0"/>
                <w:sz w:val="24"/>
                <w:szCs w:val="24"/>
                <w:lang w:bidi="ar"/>
              </w:rPr>
              <w:t>65.3</w:t>
            </w:r>
          </w:p>
        </w:tc>
        <w:tc>
          <w:tcPr>
            <w:tcW w:w="1364" w:type="dxa"/>
            <w:tcBorders>
              <w:tl2br w:val="nil"/>
              <w:tr2bl w:val="nil"/>
            </w:tcBorders>
            <w:shd w:val="clear" w:color="auto" w:fill="auto"/>
            <w:vAlign w:val="center"/>
          </w:tcPr>
          <w:p>
            <w:pPr>
              <w:jc w:val="center"/>
              <w:rPr>
                <w:rFonts w:ascii="Times New Roman" w:hAnsi="Times New Roman" w:eastAsia="华文宋体" w:cs="Times New Roman"/>
                <w:color w:val="auto"/>
                <w:sz w:val="24"/>
                <w:szCs w:val="24"/>
              </w:rPr>
            </w:pPr>
          </w:p>
        </w:tc>
      </w:tr>
    </w:tbl>
    <w:p>
      <w:pPr>
        <w:pStyle w:val="5"/>
        <w:rPr>
          <w:rFonts w:cs="Times New Roman"/>
        </w:rPr>
      </w:pPr>
      <w:r>
        <w:rPr>
          <w:rFonts w:cs="Times New Roman"/>
        </w:rPr>
        <w:t>1.2.4 支撑材料</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邹城市2016年林业统计年报</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邹城市2017年林业统计年报</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2016-2018年邹城市新造林工程统计表</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济宁市建设国家森林城市工作领导小组文件关于创建国家森林城市工作进展情况的通报（济建森发</w:t>
      </w:r>
      <w:r>
        <w:rPr>
          <w:rFonts w:hint="eastAsia" w:ascii="Times New Roman" w:hAnsi="Times New Roman" w:eastAsia="华文宋体" w:cs="Times New Roman"/>
          <w:sz w:val="28"/>
          <w:szCs w:val="28"/>
          <w:lang w:eastAsia="zh-CN"/>
        </w:rPr>
        <w:t>﹝2018﹞</w:t>
      </w:r>
      <w:r>
        <w:rPr>
          <w:rFonts w:ascii="Times New Roman" w:hAnsi="Times New Roman" w:eastAsia="华文宋体" w:cs="Times New Roman"/>
          <w:sz w:val="28"/>
          <w:szCs w:val="28"/>
        </w:rPr>
        <w:t>2号）</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济宁市建设国家森林城市工作领导小组文件关于2018年创建国家森林城市工作进展情况的通报（济建森发</w:t>
      </w:r>
      <w:r>
        <w:rPr>
          <w:rFonts w:hint="eastAsia" w:ascii="Times New Roman" w:hAnsi="Times New Roman" w:eastAsia="华文宋体" w:cs="Times New Roman"/>
          <w:sz w:val="28"/>
          <w:szCs w:val="28"/>
          <w:lang w:eastAsia="zh-CN"/>
        </w:rPr>
        <w:t>﹝2018﹞</w:t>
      </w:r>
      <w:r>
        <w:rPr>
          <w:rFonts w:ascii="Times New Roman" w:hAnsi="Times New Roman" w:eastAsia="华文宋体" w:cs="Times New Roman"/>
          <w:sz w:val="28"/>
          <w:szCs w:val="28"/>
        </w:rPr>
        <w:t>5号）</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邹城市绿化委员会关于做好2018年雨季造林工作的通知</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邹城市绿化委员会办公室关于做好2018年荒山造林绿化工程的通知（邹绿办发</w:t>
      </w:r>
      <w:r>
        <w:rPr>
          <w:rFonts w:hint="eastAsia" w:ascii="Times New Roman" w:hAnsi="Times New Roman" w:eastAsia="华文宋体" w:cs="Times New Roman"/>
          <w:sz w:val="28"/>
          <w:szCs w:val="28"/>
          <w:lang w:eastAsia="zh-CN"/>
        </w:rPr>
        <w:t>﹝2018﹞</w:t>
      </w:r>
      <w:r>
        <w:rPr>
          <w:rFonts w:ascii="Times New Roman" w:hAnsi="Times New Roman" w:eastAsia="华文宋体" w:cs="Times New Roman"/>
          <w:sz w:val="28"/>
          <w:szCs w:val="28"/>
        </w:rPr>
        <w:t>1号）</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邹城市绿化委员办公室关于掀起雨季造林高潮的通知（邹绿办发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3号）</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邹城市绿化委员会文件关于做好2017年荒山造林绿化工程的通知（邹绿发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6号）</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邹城市绿化委员会文件关于做好2017年雨季造林工作的通知（邹绿发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13号）</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邹城市绿化委员会文件关于申报2018年“退耕还林”生态富民工程项目的通知（邹绿发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14号）</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邹城市绿化委员关于退耕还林项目进行苗木补植的通知（邹绿发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2号）</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邹城市绿化委员会文件关于做好2016年荒山造林绿化工程的通知（邹绿发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9号）</w:t>
      </w:r>
    </w:p>
    <w:p>
      <w:pPr>
        <w:numPr>
          <w:ilvl w:val="0"/>
          <w:numId w:val="3"/>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邹城市绿化委员关于迅速掀起雨季造林高潮的通知</w:t>
      </w:r>
    </w:p>
    <w:p>
      <w:pPr>
        <w:numPr>
          <w:ilvl w:val="0"/>
          <w:numId w:val="3"/>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报纸信息：雨季造林</w:t>
      </w:r>
    </w:p>
    <w:p>
      <w:pPr>
        <w:numPr>
          <w:ilvl w:val="0"/>
          <w:numId w:val="3"/>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6" w:name="_Toc519373539"/>
      <w:r>
        <w:rPr>
          <w:rFonts w:hint="eastAsia"/>
        </w:rPr>
        <w:t xml:space="preserve">1.3 </w:t>
      </w:r>
      <w:r>
        <w:t>城区绿化覆盖率</w:t>
      </w:r>
      <w:bookmarkEnd w:id="6"/>
    </w:p>
    <w:p>
      <w:pPr>
        <w:pStyle w:val="5"/>
      </w:pPr>
      <w:r>
        <w:rPr>
          <w:rFonts w:hint="eastAsia"/>
        </w:rPr>
        <w:t xml:space="preserve">1.3.1 </w:t>
      </w:r>
      <w:r>
        <w:t>指标要求</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城区绿化覆盖率达到 40%以上。</w:t>
      </w:r>
    </w:p>
    <w:p>
      <w:pPr>
        <w:pStyle w:val="5"/>
      </w:pPr>
      <w:r>
        <w:rPr>
          <w:rFonts w:hint="eastAsia"/>
        </w:rPr>
        <w:t xml:space="preserve">1.3.2 </w:t>
      </w:r>
      <w:r>
        <w:t>方法步骤</w:t>
      </w:r>
    </w:p>
    <w:p>
      <w:p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采用抽样调查与数据统计结合的方法，根据园林部门提供的城市</w:t>
      </w:r>
    </w:p>
    <w:p>
      <w:pPr>
        <w:tabs>
          <w:tab w:val="left" w:pos="2511"/>
        </w:tabs>
        <w:spacing w:line="360" w:lineRule="auto"/>
        <w:rPr>
          <w:rFonts w:ascii="Times New Roman" w:hAnsi="Times New Roman" w:eastAsia="华文宋体" w:cs="Times New Roman"/>
          <w:sz w:val="28"/>
          <w:szCs w:val="28"/>
        </w:rPr>
      </w:pPr>
      <w:r>
        <w:rPr>
          <w:rFonts w:ascii="Times New Roman" w:hAnsi="Times New Roman" w:eastAsia="华文宋体" w:cs="Times New Roman"/>
          <w:sz w:val="28"/>
          <w:szCs w:val="28"/>
        </w:rPr>
        <w:t>绿地资源统计进行抽样调查，核实各类绿地面积。综合抽样调查结果与统计数据，计算城区绿化覆盖率。</w:t>
      </w:r>
    </w:p>
    <w:p>
      <w:pPr>
        <w:pStyle w:val="5"/>
      </w:pPr>
      <w:r>
        <w:rPr>
          <w:rFonts w:hint="eastAsia"/>
        </w:rPr>
        <w:t xml:space="preserve">1.3.3 </w:t>
      </w:r>
      <w:r>
        <w:t>自查结果</w:t>
      </w:r>
    </w:p>
    <w:p>
      <w:pPr>
        <w:wordWrap w:val="0"/>
        <w:ind w:firstLine="560" w:firstLineChars="200"/>
        <w:jc w:val="left"/>
        <w:rPr>
          <w:rFonts w:ascii="Times New Roman" w:hAnsi="Times New Roman" w:eastAsia="华文宋体" w:cs="Times New Roman"/>
          <w:color w:val="FF0000"/>
          <w:sz w:val="28"/>
          <w:szCs w:val="28"/>
        </w:rPr>
      </w:pPr>
      <w:r>
        <w:rPr>
          <w:rFonts w:ascii="Times New Roman" w:hAnsi="Times New Roman" w:eastAsia="华文宋体" w:cs="Times New Roman"/>
          <w:sz w:val="28"/>
          <w:szCs w:val="28"/>
        </w:rPr>
        <w:t>达标。自创建国家森林城市以来，邹城市开展了各项城市森林建设工程，</w:t>
      </w:r>
      <w:r>
        <w:rPr>
          <w:rFonts w:ascii="Times New Roman" w:hAnsi="Times New Roman" w:eastAsia="华文宋体" w:cs="Times New Roman"/>
          <w:color w:val="FF0000"/>
          <w:sz w:val="28"/>
          <w:szCs w:val="28"/>
        </w:rPr>
        <w:t>其中包括</w:t>
      </w:r>
      <w:r>
        <w:rPr>
          <w:rFonts w:ascii="Times New Roman" w:hAnsi="Times New Roman" w:eastAsia="华文宋体" w:cs="Times New Roman"/>
          <w:sz w:val="28"/>
        </w:rPr>
        <w:t>昌平花园南公园、孟母三迁公园等公园绿地建设及护驾山公园、文广中心、水街公园等改造提升工程；加快道路防护绿地建设，完成昌平山路、成功路等主次干道绿化；新建碧桂园一期、文博东苑等附属绿地；开展裸露土地治理等工作</w:t>
      </w:r>
      <w:r>
        <w:rPr>
          <w:rFonts w:ascii="Times New Roman" w:hAnsi="Times New Roman" w:eastAsia="华文宋体" w:cs="Times New Roman"/>
          <w:sz w:val="28"/>
          <w:szCs w:val="28"/>
        </w:rPr>
        <w:t>，</w:t>
      </w:r>
      <w:r>
        <w:rPr>
          <w:rFonts w:hint="eastAsia" w:ascii="Times New Roman" w:hAnsi="Times New Roman" w:eastAsia="华文宋体" w:cs="Times New Roman"/>
          <w:color w:val="FF0000"/>
          <w:sz w:val="28"/>
          <w:szCs w:val="28"/>
          <w:lang w:val="en-US" w:eastAsia="zh-CN"/>
        </w:rPr>
        <w:t>拆墙透绿、破硬增绿、立体营绿、</w:t>
      </w:r>
      <w:r>
        <w:rPr>
          <w:rFonts w:ascii="Times New Roman" w:hAnsi="Times New Roman" w:eastAsia="华文宋体" w:cs="Times New Roman"/>
          <w:color w:val="FF0000"/>
          <w:sz w:val="28"/>
          <w:szCs w:val="28"/>
        </w:rPr>
        <w:t>见缝插绿，</w:t>
      </w:r>
      <w:r>
        <w:rPr>
          <w:rFonts w:hint="eastAsia" w:ascii="Times New Roman" w:hAnsi="Times New Roman" w:eastAsia="华文宋体" w:cs="Times New Roman"/>
          <w:color w:val="FF0000"/>
          <w:sz w:val="28"/>
          <w:szCs w:val="28"/>
          <w:lang w:val="en-US" w:eastAsia="zh-CN"/>
        </w:rPr>
        <w:t>能绿尽绿、应绿尽绿，</w:t>
      </w:r>
      <w:r>
        <w:rPr>
          <w:rFonts w:ascii="Times New Roman" w:hAnsi="Times New Roman" w:eastAsia="华文宋体" w:cs="Times New Roman"/>
          <w:sz w:val="28"/>
          <w:szCs w:val="28"/>
        </w:rPr>
        <w:t>持续增加城区绿量，</w:t>
      </w:r>
      <w:r>
        <w:rPr>
          <w:rFonts w:hint="eastAsia" w:ascii="Times New Roman" w:hAnsi="Times New Roman" w:eastAsia="华文宋体" w:cs="Times New Roman"/>
          <w:color w:val="FF0000"/>
          <w:sz w:val="28"/>
          <w:szCs w:val="28"/>
          <w:lang w:val="en-US" w:eastAsia="zh-CN"/>
        </w:rPr>
        <w:t>不断</w:t>
      </w:r>
      <w:r>
        <w:rPr>
          <w:rFonts w:ascii="Times New Roman" w:hAnsi="Times New Roman" w:eastAsia="华文宋体" w:cs="Times New Roman"/>
          <w:color w:val="FF0000"/>
          <w:sz w:val="28"/>
          <w:szCs w:val="28"/>
        </w:rPr>
        <w:t>提高</w:t>
      </w:r>
      <w:r>
        <w:rPr>
          <w:rFonts w:ascii="Times New Roman" w:hAnsi="Times New Roman" w:eastAsia="华文宋体" w:cs="Times New Roman"/>
          <w:sz w:val="28"/>
          <w:szCs w:val="28"/>
        </w:rPr>
        <w:t>城区绿化覆盖率，</w:t>
      </w:r>
      <w:r>
        <w:rPr>
          <w:rFonts w:ascii="Times New Roman" w:hAnsi="Times New Roman" w:eastAsia="华文宋体" w:cs="Times New Roman"/>
          <w:color w:val="FF0000"/>
          <w:sz w:val="28"/>
          <w:szCs w:val="28"/>
        </w:rPr>
        <w:t>为市民营造良好的</w:t>
      </w:r>
      <w:r>
        <w:rPr>
          <w:rFonts w:hint="eastAsia" w:ascii="Times New Roman" w:hAnsi="Times New Roman" w:eastAsia="华文宋体" w:cs="Times New Roman"/>
          <w:color w:val="FF0000"/>
          <w:sz w:val="28"/>
          <w:szCs w:val="28"/>
          <w:lang w:val="en-US" w:eastAsia="zh-CN"/>
        </w:rPr>
        <w:t>生态</w:t>
      </w:r>
      <w:r>
        <w:rPr>
          <w:rFonts w:ascii="Times New Roman" w:hAnsi="Times New Roman" w:eastAsia="华文宋体" w:cs="Times New Roman"/>
          <w:color w:val="FF0000"/>
          <w:sz w:val="28"/>
          <w:szCs w:val="28"/>
        </w:rPr>
        <w:t>宜居环境。</w:t>
      </w:r>
    </w:p>
    <w:p>
      <w:pPr>
        <w:wordWrap w:val="0"/>
        <w:ind w:firstLine="560" w:firstLineChars="200"/>
        <w:jc w:val="left"/>
        <w:rPr>
          <w:rFonts w:ascii="Times New Roman" w:hAnsi="Times New Roman" w:eastAsia="华文宋体" w:cs="Times New Roman"/>
          <w:sz w:val="24"/>
          <w:szCs w:val="24"/>
        </w:rPr>
      </w:pPr>
      <w:r>
        <w:rPr>
          <w:rFonts w:ascii="Times New Roman" w:hAnsi="Times New Roman" w:eastAsia="华文宋体" w:cs="Times New Roman"/>
          <w:sz w:val="28"/>
        </w:rPr>
        <w:t>根据邹城市规划局确定的建成区范围即北至北外环，西至西外环，南至岚济路，</w:t>
      </w:r>
      <w:r>
        <w:rPr>
          <w:rFonts w:ascii="Times New Roman" w:hAnsi="Times New Roman" w:eastAsia="华文宋体" w:cs="Times New Roman"/>
          <w:color w:val="FF0000"/>
          <w:sz w:val="28"/>
        </w:rPr>
        <w:t>东至京福高速</w:t>
      </w:r>
      <w:r>
        <w:rPr>
          <w:rFonts w:ascii="Times New Roman" w:hAnsi="Times New Roman" w:eastAsia="华文宋体" w:cs="Times New Roman"/>
          <w:sz w:val="28"/>
          <w:szCs w:val="28"/>
        </w:rPr>
        <w:t>，至2017年底邹城市建成区总面积4400.00</w:t>
      </w:r>
      <w:r>
        <w:rPr>
          <w:rFonts w:ascii="Times New Roman" w:hAnsi="Times New Roman" w:eastAsia="华文宋体" w:cs="Times New Roman"/>
          <w:bCs/>
          <w:kern w:val="0"/>
          <w:sz w:val="28"/>
          <w:szCs w:val="28"/>
        </w:rPr>
        <w:t>公顷</w:t>
      </w:r>
      <w:r>
        <w:rPr>
          <w:rFonts w:ascii="Times New Roman" w:hAnsi="Times New Roman" w:eastAsia="华文宋体" w:cs="Times New Roman"/>
          <w:sz w:val="28"/>
          <w:szCs w:val="28"/>
        </w:rPr>
        <w:t>，绿化覆盖面积为1909.43</w:t>
      </w:r>
      <w:r>
        <w:rPr>
          <w:rFonts w:ascii="Times New Roman" w:hAnsi="Times New Roman" w:eastAsia="华文宋体" w:cs="Times New Roman"/>
          <w:bCs/>
          <w:kern w:val="0"/>
          <w:sz w:val="28"/>
          <w:szCs w:val="28"/>
        </w:rPr>
        <w:t>公顷</w:t>
      </w:r>
      <w:r>
        <w:rPr>
          <w:rFonts w:ascii="Times New Roman" w:hAnsi="Times New Roman" w:eastAsia="华文宋体" w:cs="Times New Roman"/>
          <w:sz w:val="28"/>
          <w:szCs w:val="28"/>
        </w:rPr>
        <w:t>，其中公园绿地覆盖面积502.57</w:t>
      </w:r>
      <w:r>
        <w:rPr>
          <w:rFonts w:ascii="Times New Roman" w:hAnsi="Times New Roman" w:eastAsia="华文宋体" w:cs="Times New Roman"/>
          <w:bCs/>
          <w:kern w:val="0"/>
          <w:sz w:val="28"/>
          <w:szCs w:val="28"/>
        </w:rPr>
        <w:t>公顷</w:t>
      </w:r>
      <w:r>
        <w:rPr>
          <w:rFonts w:ascii="Times New Roman" w:hAnsi="Times New Roman" w:eastAsia="华文宋体" w:cs="Times New Roman"/>
          <w:sz w:val="28"/>
          <w:szCs w:val="28"/>
        </w:rPr>
        <w:t>，附属绿地覆盖面积437.16</w:t>
      </w:r>
      <w:r>
        <w:rPr>
          <w:rFonts w:ascii="Times New Roman" w:hAnsi="Times New Roman" w:eastAsia="华文宋体" w:cs="Times New Roman"/>
          <w:bCs/>
          <w:kern w:val="0"/>
          <w:sz w:val="28"/>
          <w:szCs w:val="28"/>
        </w:rPr>
        <w:t>公顷</w:t>
      </w:r>
      <w:r>
        <w:rPr>
          <w:rFonts w:ascii="Times New Roman" w:hAnsi="Times New Roman" w:eastAsia="华文宋体" w:cs="Times New Roman"/>
          <w:sz w:val="28"/>
          <w:szCs w:val="28"/>
        </w:rPr>
        <w:t>，防护绿地覆盖面积939.38</w:t>
      </w:r>
      <w:r>
        <w:rPr>
          <w:rFonts w:ascii="Times New Roman" w:hAnsi="Times New Roman" w:eastAsia="华文宋体" w:cs="Times New Roman"/>
          <w:bCs/>
          <w:kern w:val="0"/>
          <w:sz w:val="28"/>
          <w:szCs w:val="28"/>
        </w:rPr>
        <w:t>公顷</w:t>
      </w:r>
      <w:r>
        <w:rPr>
          <w:rFonts w:ascii="Times New Roman" w:hAnsi="Times New Roman" w:eastAsia="华文宋体" w:cs="Times New Roman"/>
          <w:sz w:val="28"/>
          <w:szCs w:val="28"/>
        </w:rPr>
        <w:t>，生产绿地覆盖面积12.00</w:t>
      </w:r>
      <w:r>
        <w:rPr>
          <w:rFonts w:ascii="Times New Roman" w:hAnsi="Times New Roman" w:eastAsia="华文宋体" w:cs="Times New Roman"/>
          <w:bCs/>
          <w:kern w:val="0"/>
          <w:sz w:val="28"/>
          <w:szCs w:val="28"/>
        </w:rPr>
        <w:t>公顷</w:t>
      </w:r>
      <w:r>
        <w:rPr>
          <w:rFonts w:ascii="Times New Roman" w:hAnsi="Times New Roman" w:eastAsia="华文宋体" w:cs="Times New Roman"/>
          <w:sz w:val="28"/>
          <w:szCs w:val="28"/>
        </w:rPr>
        <w:t>，其他绿地覆盖面积18.32</w:t>
      </w:r>
      <w:r>
        <w:rPr>
          <w:rFonts w:ascii="Times New Roman" w:hAnsi="Times New Roman" w:eastAsia="华文宋体" w:cs="Times New Roman"/>
          <w:bCs/>
          <w:kern w:val="0"/>
          <w:sz w:val="28"/>
          <w:szCs w:val="28"/>
        </w:rPr>
        <w:t>公顷</w:t>
      </w:r>
      <w:r>
        <w:rPr>
          <w:rFonts w:ascii="Times New Roman" w:hAnsi="Times New Roman" w:eastAsia="华文宋体" w:cs="Times New Roman"/>
          <w:sz w:val="28"/>
          <w:szCs w:val="28"/>
        </w:rPr>
        <w:t>，城区绿化覆盖率达到43.39%。达到《国家森林城市评价指标》中要求的40%。</w:t>
      </w:r>
    </w:p>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表</w:t>
      </w:r>
      <w:r>
        <w:rPr>
          <w:rFonts w:hint="eastAsia" w:ascii="Times New Roman" w:hAnsi="Times New Roman" w:eastAsia="华文宋体" w:cs="Times New Roman"/>
          <w:sz w:val="24"/>
          <w:szCs w:val="24"/>
        </w:rPr>
        <w:t>1.</w:t>
      </w:r>
      <w:r>
        <w:rPr>
          <w:rFonts w:ascii="Times New Roman" w:hAnsi="Times New Roman" w:eastAsia="华文宋体" w:cs="Times New Roman"/>
          <w:sz w:val="24"/>
          <w:szCs w:val="24"/>
        </w:rPr>
        <w:t>3-1   2017年邹城市中心城区绿化覆盖面积统计表</w:t>
      </w:r>
    </w:p>
    <w:p>
      <w:pPr>
        <w:ind w:left="360"/>
        <w:jc w:val="right"/>
        <w:rPr>
          <w:rFonts w:ascii="Times New Roman" w:hAnsi="Times New Roman" w:eastAsia="华文宋体" w:cs="Times New Roman"/>
          <w:sz w:val="28"/>
          <w:szCs w:val="28"/>
        </w:rPr>
      </w:pPr>
      <w:r>
        <w:rPr>
          <w:rFonts w:ascii="Times New Roman" w:hAnsi="Times New Roman" w:eastAsia="华文宋体" w:cs="Times New Roman"/>
          <w:sz w:val="24"/>
          <w:szCs w:val="24"/>
        </w:rPr>
        <w:t>单位：公顷、%</w:t>
      </w:r>
    </w:p>
    <w:tbl>
      <w:tblPr>
        <w:tblStyle w:val="16"/>
        <w:tblW w:w="91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020"/>
        <w:gridCol w:w="1055"/>
        <w:gridCol w:w="980"/>
        <w:gridCol w:w="980"/>
        <w:gridCol w:w="980"/>
        <w:gridCol w:w="980"/>
        <w:gridCol w:w="980"/>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224" w:type="dxa"/>
            <w:vMerge w:val="restart"/>
            <w:vAlign w:val="center"/>
          </w:tcPr>
          <w:p>
            <w:pPr>
              <w:tabs>
                <w:tab w:val="left" w:pos="2511"/>
              </w:tabs>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统计</w:t>
            </w:r>
          </w:p>
          <w:p>
            <w:pPr>
              <w:tabs>
                <w:tab w:val="left" w:pos="2511"/>
              </w:tabs>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单位</w:t>
            </w:r>
          </w:p>
        </w:tc>
        <w:tc>
          <w:tcPr>
            <w:tcW w:w="1020" w:type="dxa"/>
            <w:vMerge w:val="restart"/>
            <w:vAlign w:val="center"/>
          </w:tcPr>
          <w:p>
            <w:pPr>
              <w:tabs>
                <w:tab w:val="left" w:pos="2511"/>
              </w:tabs>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建成区面积</w:t>
            </w:r>
          </w:p>
        </w:tc>
        <w:tc>
          <w:tcPr>
            <w:tcW w:w="5955" w:type="dxa"/>
            <w:gridSpan w:val="6"/>
            <w:vAlign w:val="center"/>
          </w:tcPr>
          <w:p>
            <w:pPr>
              <w:tabs>
                <w:tab w:val="left" w:pos="2511"/>
              </w:tabs>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城区绿化覆盖面积</w:t>
            </w:r>
          </w:p>
        </w:tc>
        <w:tc>
          <w:tcPr>
            <w:tcW w:w="945" w:type="dxa"/>
            <w:vMerge w:val="restart"/>
            <w:vAlign w:val="center"/>
          </w:tcPr>
          <w:p>
            <w:pPr>
              <w:tabs>
                <w:tab w:val="left" w:pos="2511"/>
              </w:tabs>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城区绿化覆盖率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1224" w:type="dxa"/>
            <w:vMerge w:val="continue"/>
            <w:vAlign w:val="center"/>
          </w:tcPr>
          <w:p>
            <w:pPr>
              <w:tabs>
                <w:tab w:val="left" w:pos="2511"/>
              </w:tabs>
              <w:spacing w:line="360" w:lineRule="auto"/>
              <w:jc w:val="center"/>
              <w:rPr>
                <w:rFonts w:ascii="Times New Roman" w:hAnsi="Times New Roman" w:eastAsia="华文宋体" w:cs="Times New Roman"/>
                <w:sz w:val="24"/>
                <w:szCs w:val="24"/>
              </w:rPr>
            </w:pPr>
          </w:p>
        </w:tc>
        <w:tc>
          <w:tcPr>
            <w:tcW w:w="1020" w:type="dxa"/>
            <w:vMerge w:val="continue"/>
            <w:vAlign w:val="center"/>
          </w:tcPr>
          <w:p>
            <w:pPr>
              <w:tabs>
                <w:tab w:val="left" w:pos="2511"/>
              </w:tabs>
              <w:spacing w:line="360" w:lineRule="auto"/>
              <w:jc w:val="center"/>
              <w:rPr>
                <w:rFonts w:ascii="Times New Roman" w:hAnsi="Times New Roman" w:eastAsia="华文宋体" w:cs="Times New Roman"/>
                <w:sz w:val="24"/>
                <w:szCs w:val="24"/>
              </w:rPr>
            </w:pPr>
          </w:p>
        </w:tc>
        <w:tc>
          <w:tcPr>
            <w:tcW w:w="105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sz w:val="24"/>
                <w:szCs w:val="24"/>
              </w:rPr>
              <w:t>合计</w:t>
            </w:r>
          </w:p>
        </w:tc>
        <w:tc>
          <w:tcPr>
            <w:tcW w:w="9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sz w:val="24"/>
                <w:szCs w:val="24"/>
              </w:rPr>
              <w:t>公园</w:t>
            </w:r>
          </w:p>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sz w:val="24"/>
                <w:szCs w:val="24"/>
              </w:rPr>
              <w:t>绿地</w:t>
            </w:r>
          </w:p>
        </w:tc>
        <w:tc>
          <w:tcPr>
            <w:tcW w:w="980" w:type="dxa"/>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附属</w:t>
            </w:r>
          </w:p>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绿地</w:t>
            </w:r>
          </w:p>
        </w:tc>
        <w:tc>
          <w:tcPr>
            <w:tcW w:w="980" w:type="dxa"/>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防护</w:t>
            </w:r>
          </w:p>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绿地</w:t>
            </w:r>
          </w:p>
        </w:tc>
        <w:tc>
          <w:tcPr>
            <w:tcW w:w="980" w:type="dxa"/>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生产</w:t>
            </w:r>
          </w:p>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绿地</w:t>
            </w:r>
          </w:p>
        </w:tc>
        <w:tc>
          <w:tcPr>
            <w:tcW w:w="980" w:type="dxa"/>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其他</w:t>
            </w:r>
          </w:p>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绿地</w:t>
            </w:r>
          </w:p>
        </w:tc>
        <w:tc>
          <w:tcPr>
            <w:tcW w:w="945" w:type="dxa"/>
            <w:vMerge w:val="continue"/>
            <w:vAlign w:val="center"/>
          </w:tcPr>
          <w:p>
            <w:pPr>
              <w:widowControl/>
              <w:jc w:val="center"/>
              <w:textAlignment w:val="center"/>
              <w:rPr>
                <w:rFonts w:ascii="Times New Roman" w:hAnsi="Times New Roman" w:eastAsia="华文宋体" w:cs="Times New Roman"/>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24" w:type="dxa"/>
            <w:vAlign w:val="center"/>
          </w:tcPr>
          <w:p>
            <w:pPr>
              <w:tabs>
                <w:tab w:val="left" w:pos="2511"/>
              </w:tabs>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邹城市</w:t>
            </w:r>
          </w:p>
          <w:p>
            <w:pPr>
              <w:tabs>
                <w:tab w:val="left" w:pos="2511"/>
              </w:tabs>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中心城区</w:t>
            </w:r>
          </w:p>
        </w:tc>
        <w:tc>
          <w:tcPr>
            <w:tcW w:w="1020" w:type="dxa"/>
            <w:vAlign w:val="center"/>
          </w:tcPr>
          <w:p>
            <w:pPr>
              <w:tabs>
                <w:tab w:val="left" w:pos="2511"/>
              </w:tabs>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4400.00</w:t>
            </w:r>
          </w:p>
        </w:tc>
        <w:tc>
          <w:tcPr>
            <w:tcW w:w="105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sz w:val="24"/>
                <w:szCs w:val="24"/>
              </w:rPr>
              <w:t>1909.43</w:t>
            </w:r>
          </w:p>
        </w:tc>
        <w:tc>
          <w:tcPr>
            <w:tcW w:w="9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sz w:val="24"/>
                <w:szCs w:val="24"/>
              </w:rPr>
              <w:t>502.57</w:t>
            </w:r>
          </w:p>
        </w:tc>
        <w:tc>
          <w:tcPr>
            <w:tcW w:w="980" w:type="dxa"/>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437.16</w:t>
            </w:r>
          </w:p>
        </w:tc>
        <w:tc>
          <w:tcPr>
            <w:tcW w:w="980" w:type="dxa"/>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939.38</w:t>
            </w:r>
          </w:p>
        </w:tc>
        <w:tc>
          <w:tcPr>
            <w:tcW w:w="980" w:type="dxa"/>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12.00</w:t>
            </w:r>
          </w:p>
        </w:tc>
        <w:tc>
          <w:tcPr>
            <w:tcW w:w="980" w:type="dxa"/>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18.32</w:t>
            </w:r>
          </w:p>
        </w:tc>
        <w:tc>
          <w:tcPr>
            <w:tcW w:w="945" w:type="dxa"/>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43.39</w:t>
            </w:r>
          </w:p>
        </w:tc>
      </w:tr>
    </w:tbl>
    <w:p>
      <w:pPr>
        <w:pStyle w:val="5"/>
      </w:pPr>
      <w:r>
        <w:rPr>
          <w:rFonts w:hint="eastAsia"/>
        </w:rPr>
        <w:t xml:space="preserve">1.3.4 </w:t>
      </w:r>
      <w:r>
        <w:t>支撑材料</w:t>
      </w:r>
    </w:p>
    <w:p>
      <w:pPr>
        <w:numPr>
          <w:ilvl w:val="0"/>
          <w:numId w:val="4"/>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numPr>
          <w:ilvl w:val="0"/>
          <w:numId w:val="4"/>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2017年邹城市建成区面积证明</w:t>
      </w:r>
    </w:p>
    <w:p>
      <w:pPr>
        <w:numPr>
          <w:ilvl w:val="0"/>
          <w:numId w:val="4"/>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2017年邹城市中心城区绿化覆盖面积统计表</w:t>
      </w:r>
    </w:p>
    <w:p>
      <w:pPr>
        <w:numPr>
          <w:ilvl w:val="0"/>
          <w:numId w:val="4"/>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2017年邹城市中心城区公园绿地面积统计表</w:t>
      </w:r>
    </w:p>
    <w:p>
      <w:pPr>
        <w:numPr>
          <w:ilvl w:val="0"/>
          <w:numId w:val="4"/>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2017年邹城市附属绿地覆盖面积统计表</w:t>
      </w:r>
    </w:p>
    <w:p>
      <w:pPr>
        <w:numPr>
          <w:ilvl w:val="0"/>
          <w:numId w:val="4"/>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2017年邹城市防护绿地覆盖面积统计表</w:t>
      </w:r>
    </w:p>
    <w:p>
      <w:pPr>
        <w:numPr>
          <w:ilvl w:val="0"/>
          <w:numId w:val="4"/>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2017年邹城市生产绿地覆盖面积统计表</w:t>
      </w:r>
    </w:p>
    <w:p>
      <w:pPr>
        <w:numPr>
          <w:ilvl w:val="0"/>
          <w:numId w:val="4"/>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2017年邹城市其他绿地覆盖面积统计表</w:t>
      </w:r>
    </w:p>
    <w:p>
      <w:pPr>
        <w:numPr>
          <w:ilvl w:val="0"/>
          <w:numId w:val="4"/>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7" w:name="_Toc519373540"/>
      <w:r>
        <w:rPr>
          <w:rFonts w:hint="eastAsia"/>
        </w:rPr>
        <w:t xml:space="preserve">1.4 </w:t>
      </w:r>
      <w:r>
        <w:t>城区人均公园绿地面积</w:t>
      </w:r>
      <w:bookmarkEnd w:id="7"/>
    </w:p>
    <w:p>
      <w:pPr>
        <w:pStyle w:val="5"/>
      </w:pPr>
      <w:r>
        <w:rPr>
          <w:rFonts w:hint="eastAsia"/>
        </w:rPr>
        <w:t xml:space="preserve">1.4.1 </w:t>
      </w:r>
      <w:r>
        <w:t>指标要求</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 xml:space="preserve">城区人均公园绿地面积达到 11 </w:t>
      </w:r>
      <w:r>
        <w:rPr>
          <w:rFonts w:hint="eastAsia" w:ascii="Times New Roman" w:hAnsi="Times New Roman" w:eastAsia="华文宋体" w:cs="Times New Roman"/>
          <w:sz w:val="28"/>
          <w:szCs w:val="28"/>
          <w:lang w:val="en-US" w:eastAsia="zh-CN"/>
        </w:rPr>
        <w:t>平方米</w:t>
      </w:r>
      <w:r>
        <w:rPr>
          <w:rFonts w:ascii="Times New Roman" w:hAnsi="Times New Roman" w:eastAsia="华文宋体" w:cs="Times New Roman"/>
          <w:sz w:val="28"/>
          <w:szCs w:val="28"/>
        </w:rPr>
        <w:t>以上。</w:t>
      </w:r>
    </w:p>
    <w:p>
      <w:pPr>
        <w:pStyle w:val="5"/>
      </w:pPr>
      <w:r>
        <w:rPr>
          <w:rFonts w:hint="eastAsia"/>
        </w:rPr>
        <w:t xml:space="preserve">1.4.2 </w:t>
      </w:r>
      <w:r>
        <w:t>方法步骤</w:t>
      </w:r>
    </w:p>
    <w:p>
      <w:pPr>
        <w:spacing w:line="360" w:lineRule="auto"/>
        <w:ind w:firstLine="560" w:firstLineChars="200"/>
        <w:jc w:val="left"/>
        <w:rPr>
          <w:rFonts w:ascii="Times New Roman" w:hAnsi="Times New Roman" w:eastAsia="华文宋体" w:cs="Times New Roman"/>
          <w:sz w:val="28"/>
        </w:rPr>
      </w:pPr>
      <w:r>
        <w:rPr>
          <w:rFonts w:ascii="Times New Roman" w:hAnsi="Times New Roman" w:eastAsia="华文宋体" w:cs="Times New Roman"/>
          <w:sz w:val="28"/>
        </w:rPr>
        <w:t>采用抽样调查与数据统计结合的方法，根据园林部门提供的城市</w:t>
      </w:r>
    </w:p>
    <w:p>
      <w:pPr>
        <w:spacing w:line="360" w:lineRule="auto"/>
        <w:jc w:val="left"/>
        <w:rPr>
          <w:rFonts w:ascii="Times New Roman" w:hAnsi="Times New Roman" w:eastAsia="华文宋体" w:cs="Times New Roman"/>
          <w:sz w:val="28"/>
          <w:szCs w:val="28"/>
        </w:rPr>
      </w:pPr>
      <w:r>
        <w:rPr>
          <w:rFonts w:ascii="Times New Roman" w:hAnsi="Times New Roman" w:eastAsia="华文宋体" w:cs="Times New Roman"/>
          <w:sz w:val="28"/>
        </w:rPr>
        <w:t>绿地资源统计进行抽样调查，核实公园绿地面积。综合抽样调查结果与统计数据，计算城区人均公园绿地面积。</w:t>
      </w:r>
      <w:r>
        <w:rPr>
          <w:rFonts w:ascii="Times New Roman" w:hAnsi="Times New Roman" w:eastAsia="华文宋体" w:cs="Times New Roman"/>
          <w:sz w:val="28"/>
          <w:szCs w:val="28"/>
        </w:rPr>
        <w:t>计算方法：城区人均公园绿地面积=公园绿地面积/城区常住人口×100%。</w:t>
      </w:r>
    </w:p>
    <w:p>
      <w:pPr>
        <w:pStyle w:val="5"/>
      </w:pPr>
      <w:r>
        <w:rPr>
          <w:rFonts w:hint="eastAsia"/>
        </w:rPr>
        <w:t xml:space="preserve">1.4.3 </w:t>
      </w:r>
      <w:r>
        <w:t>自查结果</w:t>
      </w:r>
    </w:p>
    <w:p>
      <w:pPr>
        <w:spacing w:line="360" w:lineRule="auto"/>
        <w:ind w:firstLine="560" w:firstLineChars="200"/>
        <w:jc w:val="left"/>
        <w:rPr>
          <w:rFonts w:ascii="Times New Roman" w:hAnsi="Times New Roman" w:eastAsia="华文宋体" w:cs="Times New Roman"/>
          <w:color w:val="FF0000"/>
          <w:sz w:val="28"/>
          <w:szCs w:val="28"/>
        </w:rPr>
      </w:pPr>
      <w:r>
        <w:rPr>
          <w:rFonts w:ascii="Times New Roman" w:hAnsi="Times New Roman" w:eastAsia="华文宋体" w:cs="Times New Roman"/>
          <w:sz w:val="28"/>
          <w:szCs w:val="28"/>
        </w:rPr>
        <w:t>达标。邹城市政府、相关部门高度重视城区公园绿地的建设。自创建国家森林城市以来，邹城市全面加强建设中央公园等综合性公园、唐王河公园西段等带状公园、中心片区和东部片区等社区公园及街旁绿地，完善公园绿地的游览、健身和休憩设施等，丰富市民活动内容，服务市民生活</w:t>
      </w:r>
      <w:r>
        <w:rPr>
          <w:rFonts w:ascii="Times New Roman" w:hAnsi="Times New Roman" w:eastAsia="华文宋体" w:cs="Times New Roman"/>
          <w:sz w:val="28"/>
        </w:rPr>
        <w:t>。根据邹城市规划局确定的建成区范围即北至北外环，西至西外环，南至岚济路，</w:t>
      </w:r>
      <w:r>
        <w:rPr>
          <w:rFonts w:ascii="Times New Roman" w:hAnsi="Times New Roman" w:eastAsia="华文宋体" w:cs="Times New Roman"/>
          <w:color w:val="FF0000"/>
          <w:sz w:val="28"/>
        </w:rPr>
        <w:t>东至京福高速</w:t>
      </w:r>
      <w:r>
        <w:rPr>
          <w:rFonts w:ascii="Times New Roman" w:hAnsi="Times New Roman" w:eastAsia="华文宋体" w:cs="Times New Roman"/>
          <w:sz w:val="28"/>
        </w:rPr>
        <w:t>，建成区总面积为4400.00公顷。</w:t>
      </w:r>
      <w:r>
        <w:rPr>
          <w:rFonts w:ascii="Times New Roman" w:hAnsi="Times New Roman" w:eastAsia="华文宋体" w:cs="Times New Roman"/>
          <w:sz w:val="28"/>
          <w:szCs w:val="28"/>
        </w:rPr>
        <w:t>至2017年年底，邹城市建设公园绿地49处，公园绿地总面积502.57</w:t>
      </w:r>
      <w:r>
        <w:rPr>
          <w:rFonts w:ascii="Times New Roman" w:hAnsi="Times New Roman" w:eastAsia="华文宋体" w:cs="Times New Roman"/>
          <w:sz w:val="28"/>
        </w:rPr>
        <w:t>公顷</w:t>
      </w:r>
      <w:r>
        <w:rPr>
          <w:rFonts w:ascii="Times New Roman" w:hAnsi="Times New Roman" w:eastAsia="华文宋体" w:cs="Times New Roman"/>
          <w:sz w:val="28"/>
          <w:szCs w:val="28"/>
        </w:rPr>
        <w:t>，邹城市城区常住人口为31.4万人，人均公园绿地面积达到16.01</w:t>
      </w:r>
      <w:r>
        <w:rPr>
          <w:rFonts w:hint="eastAsia" w:ascii="Times New Roman" w:hAnsi="Times New Roman" w:eastAsia="华文宋体" w:cs="Times New Roman"/>
          <w:color w:val="FF0000"/>
          <w:sz w:val="28"/>
          <w:szCs w:val="28"/>
          <w:lang w:val="en-US" w:eastAsia="zh-CN"/>
        </w:rPr>
        <w:t>平方米</w:t>
      </w:r>
      <w:r>
        <w:rPr>
          <w:rFonts w:ascii="Times New Roman" w:hAnsi="Times New Roman" w:eastAsia="华文宋体" w:cs="Times New Roman"/>
          <w:sz w:val="28"/>
          <w:szCs w:val="28"/>
        </w:rPr>
        <w:t>。达到《国家森林城市评价指标》的要求。</w:t>
      </w:r>
    </w:p>
    <w:p>
      <w:pPr>
        <w:spacing w:line="360" w:lineRule="auto"/>
        <w:ind w:left="360"/>
        <w:jc w:val="center"/>
        <w:rPr>
          <w:rFonts w:ascii="Times New Roman" w:hAnsi="Times New Roman" w:eastAsia="华文宋体" w:cs="Times New Roman"/>
          <w:sz w:val="24"/>
        </w:rPr>
      </w:pPr>
      <w:r>
        <w:rPr>
          <w:rFonts w:ascii="Times New Roman" w:hAnsi="Times New Roman" w:eastAsia="华文宋体" w:cs="Times New Roman"/>
          <w:sz w:val="24"/>
        </w:rPr>
        <w:t>表</w:t>
      </w:r>
      <w:r>
        <w:rPr>
          <w:rFonts w:hint="eastAsia" w:ascii="Times New Roman" w:hAnsi="Times New Roman" w:eastAsia="华文宋体" w:cs="Times New Roman"/>
          <w:sz w:val="24"/>
        </w:rPr>
        <w:t>1.</w:t>
      </w:r>
      <w:r>
        <w:rPr>
          <w:rFonts w:ascii="Times New Roman" w:hAnsi="Times New Roman" w:eastAsia="华文宋体" w:cs="Times New Roman"/>
          <w:sz w:val="24"/>
        </w:rPr>
        <w:t xml:space="preserve">4-1  2017年邹城市中心城区人均公园绿地面积统计表    </w:t>
      </w:r>
    </w:p>
    <w:p>
      <w:pPr>
        <w:wordWrap w:val="0"/>
        <w:spacing w:line="360" w:lineRule="auto"/>
        <w:ind w:left="360"/>
        <w:jc w:val="center"/>
        <w:rPr>
          <w:rFonts w:ascii="Times New Roman" w:hAnsi="Times New Roman" w:eastAsia="华文宋体" w:cs="Times New Roman"/>
          <w:sz w:val="28"/>
          <w:szCs w:val="28"/>
        </w:rPr>
      </w:pPr>
      <w:r>
        <w:rPr>
          <w:rFonts w:hint="eastAsia" w:ascii="Times New Roman" w:hAnsi="Times New Roman" w:eastAsia="华文宋体" w:cs="Times New Roman"/>
          <w:sz w:val="24"/>
          <w:lang w:val="en-US" w:eastAsia="zh-CN"/>
        </w:rPr>
        <w:t xml:space="preserve">                                    </w:t>
      </w:r>
      <w:r>
        <w:rPr>
          <w:rFonts w:ascii="Times New Roman" w:hAnsi="Times New Roman" w:eastAsia="华文宋体" w:cs="Times New Roman"/>
          <w:sz w:val="24"/>
        </w:rPr>
        <w:t>单位：万人、公顷、</w:t>
      </w:r>
      <w:r>
        <w:rPr>
          <w:rFonts w:hint="eastAsia" w:ascii="Times New Roman" w:hAnsi="Times New Roman" w:eastAsia="华文宋体" w:cs="Times New Roman"/>
          <w:sz w:val="24"/>
          <w:lang w:val="en-US" w:eastAsia="zh-CN"/>
        </w:rPr>
        <w:t>平方米</w:t>
      </w:r>
      <w:r>
        <w:rPr>
          <w:rFonts w:ascii="Times New Roman" w:hAnsi="Times New Roman" w:eastAsia="华文宋体" w:cs="Times New Roman"/>
          <w:sz w:val="24"/>
        </w:rPr>
        <w:t>/人</w:t>
      </w:r>
    </w:p>
    <w:tbl>
      <w:tblPr>
        <w:tblStyle w:val="16"/>
        <w:tblW w:w="8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250"/>
        <w:gridCol w:w="1830"/>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69" w:type="dxa"/>
            <w:vAlign w:val="center"/>
          </w:tcPr>
          <w:p>
            <w:pPr>
              <w:tabs>
                <w:tab w:val="left" w:pos="2511"/>
              </w:tabs>
              <w:spacing w:line="360" w:lineRule="auto"/>
              <w:jc w:val="center"/>
              <w:rPr>
                <w:rFonts w:ascii="Times New Roman" w:hAnsi="Times New Roman" w:eastAsia="华文宋体" w:cs="Times New Roman"/>
                <w:sz w:val="24"/>
              </w:rPr>
            </w:pPr>
            <w:r>
              <w:rPr>
                <w:rFonts w:ascii="Times New Roman" w:hAnsi="Times New Roman" w:eastAsia="华文宋体" w:cs="Times New Roman"/>
                <w:sz w:val="24"/>
              </w:rPr>
              <w:t>统计单位</w:t>
            </w:r>
          </w:p>
        </w:tc>
        <w:tc>
          <w:tcPr>
            <w:tcW w:w="2250" w:type="dxa"/>
            <w:vAlign w:val="center"/>
          </w:tcPr>
          <w:p>
            <w:pPr>
              <w:tabs>
                <w:tab w:val="left" w:pos="2511"/>
              </w:tabs>
              <w:spacing w:line="360" w:lineRule="auto"/>
              <w:jc w:val="center"/>
              <w:rPr>
                <w:rFonts w:ascii="Times New Roman" w:hAnsi="Times New Roman" w:eastAsia="华文宋体" w:cs="Times New Roman"/>
                <w:sz w:val="24"/>
              </w:rPr>
            </w:pPr>
            <w:r>
              <w:rPr>
                <w:rFonts w:ascii="Times New Roman" w:hAnsi="Times New Roman" w:eastAsia="华文宋体" w:cs="Times New Roman"/>
                <w:sz w:val="24"/>
              </w:rPr>
              <w:t>建成区常住人口</w:t>
            </w:r>
          </w:p>
        </w:tc>
        <w:tc>
          <w:tcPr>
            <w:tcW w:w="1830" w:type="dxa"/>
            <w:vAlign w:val="center"/>
          </w:tcPr>
          <w:p>
            <w:pPr>
              <w:tabs>
                <w:tab w:val="left" w:pos="2511"/>
              </w:tabs>
              <w:spacing w:line="360" w:lineRule="auto"/>
              <w:jc w:val="center"/>
              <w:rPr>
                <w:rFonts w:ascii="Times New Roman" w:hAnsi="Times New Roman" w:eastAsia="华文宋体" w:cs="Times New Roman"/>
                <w:sz w:val="24"/>
              </w:rPr>
            </w:pPr>
            <w:r>
              <w:rPr>
                <w:rFonts w:ascii="Times New Roman" w:hAnsi="Times New Roman" w:eastAsia="华文宋体" w:cs="Times New Roman"/>
                <w:sz w:val="24"/>
              </w:rPr>
              <w:t>公园绿地面积</w:t>
            </w:r>
          </w:p>
        </w:tc>
        <w:tc>
          <w:tcPr>
            <w:tcW w:w="2070" w:type="dxa"/>
            <w:vAlign w:val="center"/>
          </w:tcPr>
          <w:p>
            <w:pPr>
              <w:tabs>
                <w:tab w:val="left" w:pos="2511"/>
              </w:tabs>
              <w:spacing w:line="360" w:lineRule="auto"/>
              <w:jc w:val="center"/>
              <w:rPr>
                <w:rFonts w:ascii="Times New Roman" w:hAnsi="Times New Roman" w:eastAsia="华文宋体" w:cs="Times New Roman"/>
                <w:sz w:val="24"/>
              </w:rPr>
            </w:pPr>
            <w:r>
              <w:rPr>
                <w:rFonts w:ascii="Times New Roman" w:hAnsi="Times New Roman" w:eastAsia="华文宋体" w:cs="Times New Roman"/>
                <w:sz w:val="24"/>
              </w:rPr>
              <w:t>人均公园绿地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69" w:type="dxa"/>
            <w:vAlign w:val="center"/>
          </w:tcPr>
          <w:p>
            <w:pPr>
              <w:tabs>
                <w:tab w:val="left" w:pos="2511"/>
              </w:tabs>
              <w:spacing w:line="360" w:lineRule="auto"/>
              <w:jc w:val="center"/>
              <w:rPr>
                <w:rFonts w:ascii="Times New Roman" w:hAnsi="Times New Roman" w:eastAsia="华文宋体" w:cs="Times New Roman"/>
                <w:sz w:val="24"/>
              </w:rPr>
            </w:pPr>
            <w:r>
              <w:rPr>
                <w:rFonts w:ascii="Times New Roman" w:hAnsi="Times New Roman" w:eastAsia="华文宋体" w:cs="Times New Roman"/>
                <w:sz w:val="24"/>
              </w:rPr>
              <w:t>邹城市中心城区</w:t>
            </w:r>
          </w:p>
        </w:tc>
        <w:tc>
          <w:tcPr>
            <w:tcW w:w="2250" w:type="dxa"/>
            <w:vAlign w:val="center"/>
          </w:tcPr>
          <w:p>
            <w:pPr>
              <w:tabs>
                <w:tab w:val="left" w:pos="2511"/>
              </w:tabs>
              <w:spacing w:line="360" w:lineRule="auto"/>
              <w:jc w:val="center"/>
              <w:rPr>
                <w:rFonts w:ascii="Times New Roman" w:hAnsi="Times New Roman" w:eastAsia="华文宋体" w:cs="Times New Roman"/>
                <w:sz w:val="24"/>
              </w:rPr>
            </w:pPr>
            <w:r>
              <w:rPr>
                <w:rFonts w:ascii="Times New Roman" w:hAnsi="Times New Roman" w:eastAsia="华文宋体" w:cs="Times New Roman"/>
                <w:sz w:val="24"/>
              </w:rPr>
              <w:t>31.4</w:t>
            </w:r>
          </w:p>
        </w:tc>
        <w:tc>
          <w:tcPr>
            <w:tcW w:w="1830" w:type="dxa"/>
            <w:vAlign w:val="center"/>
          </w:tcPr>
          <w:p>
            <w:pPr>
              <w:tabs>
                <w:tab w:val="left" w:pos="2511"/>
              </w:tabs>
              <w:spacing w:line="360" w:lineRule="auto"/>
              <w:jc w:val="center"/>
              <w:rPr>
                <w:rFonts w:ascii="Times New Roman" w:hAnsi="Times New Roman" w:eastAsia="华文宋体" w:cs="Times New Roman"/>
                <w:sz w:val="24"/>
              </w:rPr>
            </w:pPr>
            <w:r>
              <w:rPr>
                <w:rFonts w:ascii="Times New Roman" w:hAnsi="Times New Roman" w:eastAsia="华文宋体" w:cs="Times New Roman"/>
                <w:sz w:val="24"/>
              </w:rPr>
              <w:t>502.57</w:t>
            </w:r>
          </w:p>
        </w:tc>
        <w:tc>
          <w:tcPr>
            <w:tcW w:w="2070" w:type="dxa"/>
            <w:vAlign w:val="center"/>
          </w:tcPr>
          <w:p>
            <w:pPr>
              <w:tabs>
                <w:tab w:val="left" w:pos="2511"/>
              </w:tabs>
              <w:spacing w:line="360" w:lineRule="auto"/>
              <w:jc w:val="center"/>
              <w:rPr>
                <w:rFonts w:ascii="Times New Roman" w:hAnsi="Times New Roman" w:eastAsia="华文宋体" w:cs="Times New Roman"/>
                <w:sz w:val="24"/>
              </w:rPr>
            </w:pPr>
            <w:r>
              <w:rPr>
                <w:rFonts w:ascii="Times New Roman" w:hAnsi="Times New Roman" w:eastAsia="华文宋体" w:cs="Times New Roman"/>
                <w:sz w:val="24"/>
              </w:rPr>
              <w:t>16.01</w:t>
            </w:r>
          </w:p>
        </w:tc>
      </w:tr>
    </w:tbl>
    <w:tbl>
      <w:tblPr>
        <w:tblStyle w:val="15"/>
        <w:tblpPr w:leftFromText="180" w:rightFromText="180" w:vertAnchor="text" w:horzAnchor="page" w:tblpXSpec="center" w:tblpY="612"/>
        <w:tblOverlap w:val="never"/>
        <w:tblW w:w="801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10"/>
        <w:gridCol w:w="3317"/>
        <w:gridCol w:w="328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18" w:hRule="atLeast"/>
          <w:tblHeader/>
          <w:jc w:val="center"/>
        </w:trPr>
        <w:tc>
          <w:tcPr>
            <w:tcW w:w="8010" w:type="dxa"/>
            <w:gridSpan w:val="3"/>
            <w:tcBorders>
              <w:top w:val="nil"/>
              <w:left w:val="nil"/>
              <w:right w:val="nil"/>
              <w:tl2br w:val="nil"/>
              <w:tr2bl w:val="nil"/>
            </w:tcBorders>
            <w:vAlign w:val="center"/>
          </w:tcPr>
          <w:p>
            <w:pPr>
              <w:widowControl/>
              <w:spacing w:before="93" w:beforeLines="30" w:after="93" w:afterLines="30" w:line="360" w:lineRule="auto"/>
              <w:jc w:val="center"/>
              <w:rPr>
                <w:rFonts w:ascii="Times New Roman" w:hAnsi="Times New Roman" w:eastAsia="华文宋体" w:cs="Times New Roman"/>
                <w:sz w:val="24"/>
              </w:rPr>
            </w:pPr>
            <w:r>
              <w:rPr>
                <w:rFonts w:ascii="Times New Roman" w:hAnsi="Times New Roman" w:eastAsia="华文宋体" w:cs="Times New Roman"/>
                <w:sz w:val="24"/>
                <w:szCs w:val="24"/>
              </w:rPr>
              <w:t>表</w:t>
            </w:r>
            <w:r>
              <w:rPr>
                <w:rFonts w:hint="eastAsia" w:ascii="Times New Roman" w:hAnsi="Times New Roman" w:eastAsia="华文宋体" w:cs="Times New Roman"/>
                <w:sz w:val="24"/>
                <w:szCs w:val="24"/>
              </w:rPr>
              <w:t>1.</w:t>
            </w:r>
            <w:r>
              <w:rPr>
                <w:rFonts w:ascii="Times New Roman" w:hAnsi="Times New Roman" w:eastAsia="华文宋体" w:cs="Times New Roman"/>
                <w:sz w:val="24"/>
                <w:szCs w:val="24"/>
              </w:rPr>
              <w:t>4-2  2017年</w:t>
            </w:r>
            <w:r>
              <w:rPr>
                <w:rFonts w:ascii="Times New Roman" w:hAnsi="Times New Roman" w:eastAsia="华文宋体" w:cs="Times New Roman"/>
                <w:bCs/>
                <w:sz w:val="24"/>
                <w:szCs w:val="24"/>
              </w:rPr>
              <w:t>邹城市中心城区公园绿地面积统计表</w:t>
            </w:r>
          </w:p>
          <w:p>
            <w:pPr>
              <w:tabs>
                <w:tab w:val="left" w:pos="2511"/>
              </w:tabs>
              <w:spacing w:line="360" w:lineRule="auto"/>
              <w:ind w:firstLine="240" w:firstLineChars="100"/>
              <w:jc w:val="right"/>
              <w:rPr>
                <w:rFonts w:hint="eastAsia" w:ascii="Times New Roman" w:hAnsi="Times New Roman" w:eastAsia="华文宋体" w:cs="Times New Roman"/>
                <w:b/>
                <w:bCs/>
                <w:sz w:val="24"/>
                <w:szCs w:val="24"/>
                <w:lang w:eastAsia="zh-CN"/>
              </w:rPr>
            </w:pPr>
            <w:r>
              <w:rPr>
                <w:rFonts w:ascii="Times New Roman" w:hAnsi="Times New Roman" w:eastAsia="华文宋体" w:cs="Times New Roman"/>
                <w:sz w:val="24"/>
              </w:rPr>
              <w:t>单位：</w:t>
            </w:r>
            <w:r>
              <w:rPr>
                <w:rFonts w:hint="eastAsia" w:ascii="Times New Roman" w:hAnsi="Times New Roman" w:eastAsia="华文宋体" w:cs="Times New Roman"/>
                <w:sz w:val="24"/>
                <w:lang w:val="en-US" w:eastAsia="zh-CN"/>
              </w:rPr>
              <w:t>平方米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tblHeader/>
          <w:jc w:val="center"/>
        </w:trPr>
        <w:tc>
          <w:tcPr>
            <w:tcW w:w="1410" w:type="dxa"/>
            <w:tcBorders>
              <w:tl2br w:val="nil"/>
              <w:tr2bl w:val="nil"/>
            </w:tcBorders>
            <w:vAlign w:val="center"/>
          </w:tcPr>
          <w:p>
            <w:pPr>
              <w:pStyle w:val="18"/>
              <w:rPr>
                <w:rFonts w:ascii="Times New Roman" w:hAnsi="Times New Roman" w:eastAsia="华文宋体" w:cs="Times New Roman"/>
                <w:b/>
                <w:bCs/>
                <w:sz w:val="24"/>
                <w:szCs w:val="24"/>
              </w:rPr>
            </w:pPr>
            <w:r>
              <w:rPr>
                <w:rFonts w:ascii="Times New Roman" w:hAnsi="Times New Roman" w:eastAsia="华文宋体" w:cs="Times New Roman"/>
                <w:b/>
                <w:bCs/>
                <w:sz w:val="24"/>
                <w:szCs w:val="24"/>
              </w:rPr>
              <w:t>序号</w:t>
            </w:r>
          </w:p>
        </w:tc>
        <w:tc>
          <w:tcPr>
            <w:tcW w:w="3317" w:type="dxa"/>
            <w:tcBorders>
              <w:tl2br w:val="nil"/>
              <w:tr2bl w:val="nil"/>
            </w:tcBorders>
            <w:vAlign w:val="center"/>
          </w:tcPr>
          <w:p>
            <w:pPr>
              <w:pStyle w:val="18"/>
              <w:rPr>
                <w:rFonts w:ascii="Times New Roman" w:hAnsi="Times New Roman" w:eastAsia="华文宋体" w:cs="Times New Roman"/>
                <w:b/>
                <w:bCs/>
                <w:sz w:val="24"/>
                <w:szCs w:val="24"/>
              </w:rPr>
            </w:pPr>
            <w:r>
              <w:rPr>
                <w:rFonts w:ascii="Times New Roman" w:hAnsi="Times New Roman" w:eastAsia="华文宋体" w:cs="Times New Roman"/>
                <w:b/>
                <w:bCs/>
                <w:sz w:val="24"/>
                <w:szCs w:val="24"/>
              </w:rPr>
              <w:t>公园名称</w:t>
            </w:r>
          </w:p>
        </w:tc>
        <w:tc>
          <w:tcPr>
            <w:tcW w:w="3283" w:type="dxa"/>
            <w:tcBorders>
              <w:tl2br w:val="nil"/>
              <w:tr2bl w:val="nil"/>
            </w:tcBorders>
            <w:vAlign w:val="center"/>
          </w:tcPr>
          <w:p>
            <w:pPr>
              <w:pStyle w:val="18"/>
              <w:rPr>
                <w:rFonts w:ascii="Times New Roman" w:hAnsi="Times New Roman" w:eastAsia="华文宋体" w:cs="Times New Roman"/>
                <w:b/>
                <w:bCs/>
                <w:sz w:val="24"/>
                <w:szCs w:val="24"/>
              </w:rPr>
            </w:pPr>
            <w:r>
              <w:rPr>
                <w:rFonts w:ascii="Times New Roman" w:hAnsi="Times New Roman" w:eastAsia="华文宋体" w:cs="Times New Roman"/>
                <w:b/>
                <w:bCs/>
                <w:sz w:val="24"/>
                <w:szCs w:val="24"/>
              </w:rPr>
              <w:t>面积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护驾山公园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1840000.00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杨下河公园一期</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176538.00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唐王河公园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665983.00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铁山公园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400200.00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5</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文化广场</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48513.00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6</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府前公园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6607.20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7</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财政局门前街旁绿地</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3321.90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8</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水街公园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100500.00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9</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技校街旁绿地</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2522.70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10</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崇义路西首 街旁绿地</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2835.20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11</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金山大厦北首街旁绿地</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8806.30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12</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烈士陵园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117373.10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13</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邻里苑社区游园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613.10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14</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马庄转盘绿地</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20624.80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15</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孟府小游园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6136.50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明星路西首游园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1639.70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17</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盘龙柱绿地</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30620.00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18</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人民广场</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39284.00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19</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三十米桥游园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2149.00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双圣碑游园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2344.20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21</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泰和广场</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18120.40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22</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东滩路东首游园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416.80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23</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体育中心</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49503.40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24</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体育广场</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123499.60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25</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田庄社区公园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1335.70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26</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福运广场</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15036.10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27</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二十米桥游园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1844.70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28</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铁西公园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69772.60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29</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香港街角绿地</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292.10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30</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二中门前游园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1797.20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31</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西外环南首街心游园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20320.10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32</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兖矿文化公园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6923.40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33</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燕京社区公园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23259.70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34</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仰圣阁游园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11240.70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35</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峄山路街旁绿地</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30485.80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36</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因利河公园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126000.00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37</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择邻路东首游园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334.10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38</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二实小西校区</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3740.90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39</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苏庄街心花园</w:t>
            </w:r>
          </w:p>
        </w:tc>
        <w:tc>
          <w:tcPr>
            <w:tcW w:w="3283"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4126.00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40</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顺河路游园</w:t>
            </w:r>
          </w:p>
        </w:tc>
        <w:tc>
          <w:tcPr>
            <w:tcW w:w="3283"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3587.00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41</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名泉路西首绿地</w:t>
            </w:r>
          </w:p>
        </w:tc>
        <w:tc>
          <w:tcPr>
            <w:tcW w:w="3283"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2543.00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42</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新田小区游园</w:t>
            </w:r>
          </w:p>
        </w:tc>
        <w:tc>
          <w:tcPr>
            <w:tcW w:w="3283"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20000.00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43</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千泉圣泉社区广场</w:t>
            </w:r>
          </w:p>
        </w:tc>
        <w:tc>
          <w:tcPr>
            <w:tcW w:w="3283"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5758.00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44</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华贸万商城周边绿地</w:t>
            </w:r>
          </w:p>
        </w:tc>
        <w:tc>
          <w:tcPr>
            <w:tcW w:w="3283"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46132.20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45</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文广中心</w:t>
            </w:r>
          </w:p>
        </w:tc>
        <w:tc>
          <w:tcPr>
            <w:tcW w:w="3283"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69000.00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46</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孟母三迁公园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26000.00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47</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昌平花园南公园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68000.00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48</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中央公园</w:t>
            </w:r>
          </w:p>
        </w:tc>
        <w:tc>
          <w:tcPr>
            <w:tcW w:w="3283" w:type="dxa"/>
            <w:tcBorders>
              <w:tl2br w:val="nil"/>
              <w:tr2bl w:val="nil"/>
            </w:tcBorders>
            <w:vAlign w:val="bottom"/>
          </w:tcPr>
          <w:p>
            <w:pPr>
              <w:widowControl/>
              <w:jc w:val="center"/>
              <w:textAlignment w:val="bottom"/>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300000.00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1410"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49</w:t>
            </w:r>
          </w:p>
        </w:tc>
        <w:tc>
          <w:tcPr>
            <w:tcW w:w="331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杨下河公园二期</w:t>
            </w:r>
          </w:p>
        </w:tc>
        <w:tc>
          <w:tcPr>
            <w:tcW w:w="3283"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 xml:space="preserve">500000.00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3" w:hRule="atLeast"/>
          <w:jc w:val="center"/>
        </w:trPr>
        <w:tc>
          <w:tcPr>
            <w:tcW w:w="4727" w:type="dxa"/>
            <w:gridSpan w:val="2"/>
            <w:tcBorders>
              <w:tl2br w:val="nil"/>
              <w:tr2bl w:val="nil"/>
            </w:tcBorders>
            <w:vAlign w:val="center"/>
          </w:tcPr>
          <w:p>
            <w:pPr>
              <w:pStyle w:val="18"/>
              <w:rPr>
                <w:rFonts w:ascii="Times New Roman" w:hAnsi="Times New Roman" w:eastAsia="宋体" w:cs="Times New Roman"/>
                <w:sz w:val="18"/>
                <w:szCs w:val="18"/>
              </w:rPr>
            </w:pPr>
            <w:r>
              <w:rPr>
                <w:rFonts w:ascii="Times New Roman" w:hAnsi="Times New Roman" w:eastAsia="华文宋体" w:cs="Times New Roman"/>
                <w:b/>
                <w:bCs/>
                <w:sz w:val="24"/>
                <w:szCs w:val="24"/>
              </w:rPr>
              <w:t>合计</w:t>
            </w:r>
          </w:p>
        </w:tc>
        <w:tc>
          <w:tcPr>
            <w:tcW w:w="3283"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b/>
                <w:color w:val="000000"/>
                <w:kern w:val="0"/>
                <w:sz w:val="24"/>
                <w:szCs w:val="24"/>
                <w:lang w:bidi="ar"/>
              </w:rPr>
              <w:t xml:space="preserve">5025681.00 </w:t>
            </w:r>
          </w:p>
        </w:tc>
      </w:tr>
    </w:tbl>
    <w:p>
      <w:pPr>
        <w:pStyle w:val="5"/>
      </w:pPr>
      <w:r>
        <w:rPr>
          <w:rFonts w:hint="eastAsia"/>
        </w:rPr>
        <w:t xml:space="preserve">1.4.4 </w:t>
      </w:r>
      <w:r>
        <w:t>支撑材料</w:t>
      </w:r>
    </w:p>
    <w:p>
      <w:pPr>
        <w:numPr>
          <w:ilvl w:val="0"/>
          <w:numId w:val="5"/>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numPr>
          <w:ilvl w:val="0"/>
          <w:numId w:val="5"/>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2017年邹城市中心城区人均公园绿地面积统计表</w:t>
      </w:r>
    </w:p>
    <w:p>
      <w:pPr>
        <w:numPr>
          <w:ilvl w:val="0"/>
          <w:numId w:val="5"/>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w:t>
      </w:r>
      <w:r>
        <w:rPr>
          <w:rFonts w:ascii="Times New Roman" w:hAnsi="Times New Roman" w:eastAsia="华文宋体" w:cs="Times New Roman"/>
          <w:bCs/>
          <w:sz w:val="28"/>
          <w:szCs w:val="28"/>
        </w:rPr>
        <w:t>邹城市中心城区公园绿地面积统计表</w:t>
      </w:r>
    </w:p>
    <w:p>
      <w:pPr>
        <w:numPr>
          <w:ilvl w:val="0"/>
          <w:numId w:val="5"/>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2017年邹城市建成区人口证明</w:t>
      </w:r>
    </w:p>
    <w:p>
      <w:pPr>
        <w:numPr>
          <w:ilvl w:val="0"/>
          <w:numId w:val="5"/>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邹城市发展和改革局文件关于邹城市园林管理局护驾山3A景区提升工程项目的批复（邹发改投资</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26号）</w:t>
      </w:r>
    </w:p>
    <w:p>
      <w:pPr>
        <w:numPr>
          <w:ilvl w:val="0"/>
          <w:numId w:val="5"/>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8" w:name="_Toc519373541"/>
      <w:r>
        <w:rPr>
          <w:rFonts w:hint="eastAsia"/>
        </w:rPr>
        <w:t xml:space="preserve">1.5 </w:t>
      </w:r>
      <w:r>
        <w:t>城区乔木种植比例</w:t>
      </w:r>
      <w:bookmarkEnd w:id="8"/>
    </w:p>
    <w:p>
      <w:pPr>
        <w:pStyle w:val="5"/>
      </w:pPr>
      <w:r>
        <w:rPr>
          <w:rFonts w:hint="eastAsia"/>
        </w:rPr>
        <w:t xml:space="preserve">1.5.1 </w:t>
      </w:r>
      <w:r>
        <w:t>指标要求</w:t>
      </w:r>
    </w:p>
    <w:p>
      <w:p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城区绿地建设应该注重提高乔木种植比例，其种植面积应占到绿地面积的60%以上。</w:t>
      </w:r>
    </w:p>
    <w:p>
      <w:pPr>
        <w:pStyle w:val="5"/>
      </w:pPr>
      <w:r>
        <w:rPr>
          <w:rFonts w:hint="eastAsia"/>
        </w:rPr>
        <w:t xml:space="preserve">1.5.2 </w:t>
      </w:r>
      <w:r>
        <w:t>方法步骤</w:t>
      </w:r>
    </w:p>
    <w:p>
      <w:pPr>
        <w:spacing w:line="360" w:lineRule="auto"/>
        <w:ind w:firstLine="560" w:firstLineChars="200"/>
        <w:jc w:val="left"/>
        <w:rPr>
          <w:rFonts w:ascii="Times New Roman" w:hAnsi="Times New Roman" w:eastAsia="华文宋体" w:cs="Times New Roman"/>
          <w:sz w:val="28"/>
        </w:rPr>
      </w:pPr>
      <w:r>
        <w:rPr>
          <w:rFonts w:ascii="Times New Roman" w:hAnsi="Times New Roman" w:eastAsia="华文宋体" w:cs="Times New Roman"/>
          <w:sz w:val="28"/>
        </w:rPr>
        <w:t>在邹城市园林局和林业局工作人员的陪同下对城区乔木种植比例进行抽样调查。</w:t>
      </w:r>
      <w:r>
        <w:rPr>
          <w:rFonts w:ascii="Times New Roman" w:hAnsi="Times New Roman" w:eastAsia="华文宋体" w:cs="Times New Roman"/>
          <w:color w:val="FF0000"/>
          <w:sz w:val="28"/>
        </w:rPr>
        <w:t>抽样方法为</w:t>
      </w:r>
      <w:r>
        <w:rPr>
          <w:rFonts w:ascii="Times New Roman" w:hAnsi="Times New Roman" w:eastAsia="华文宋体" w:cs="Times New Roman"/>
          <w:sz w:val="28"/>
        </w:rPr>
        <w:t>根据城区绿化树种统计资料，随机抽取建成区各类公园绿地、广场、游园、街头绿地、街道绿化、单位庭院、公共设施、居住区等乔木种植株数、种植面积、直径（D）≥5厘米乔木树种种类和株数，计算城区乔木树种种植面积占绿地面积的比例（%），评价“城区乔木种植比例”是否达到国家标准，并由专人至实地核实。</w:t>
      </w:r>
    </w:p>
    <w:p>
      <w:pPr>
        <w:pStyle w:val="5"/>
      </w:pPr>
      <w:r>
        <w:rPr>
          <w:rFonts w:hint="eastAsia"/>
        </w:rPr>
        <w:t xml:space="preserve">1.5.3 </w:t>
      </w:r>
      <w:r>
        <w:t>自查结果</w:t>
      </w:r>
    </w:p>
    <w:p>
      <w:pPr>
        <w:spacing w:line="360" w:lineRule="auto"/>
        <w:ind w:firstLine="560" w:firstLineChars="200"/>
        <w:jc w:val="left"/>
        <w:rPr>
          <w:rFonts w:ascii="Times New Roman" w:hAnsi="Times New Roman" w:eastAsia="华文宋体" w:cs="Times New Roman"/>
          <w:sz w:val="28"/>
          <w:szCs w:val="28"/>
          <w:lang w:val="ru-RU"/>
        </w:rPr>
      </w:pPr>
      <w:r>
        <w:rPr>
          <w:rFonts w:ascii="Times New Roman" w:hAnsi="Times New Roman" w:eastAsia="华文宋体" w:cs="Times New Roman"/>
          <w:sz w:val="28"/>
          <w:szCs w:val="28"/>
        </w:rPr>
        <w:t>达标。自创建国家森林城市以来，邹城市以主次干道、公园广场、街道绿地等为主，增加城区绿量，在城市绿化建设中注重乔木应用，在设计上一直秉持着以乔木为主，常绿与落叶搭配的原则，同时加大乡土树种的使用，形成了绿荫覆地、浓荫匝地的优美城区环境。</w:t>
      </w:r>
      <w:r>
        <w:rPr>
          <w:rFonts w:ascii="Times New Roman" w:hAnsi="Times New Roman" w:eastAsia="华文宋体" w:cs="Times New Roman"/>
          <w:sz w:val="28"/>
        </w:rPr>
        <w:t>邹城市主要应用的乔木树种为法桐、白蜡、栾树、国槐、苦楝、刺槐、桧柏、皂荚等乡土树种。</w:t>
      </w:r>
      <w:r>
        <w:rPr>
          <w:rFonts w:ascii="Times New Roman" w:hAnsi="Times New Roman" w:eastAsia="华文宋体" w:cs="Times New Roman"/>
          <w:sz w:val="28"/>
          <w:szCs w:val="28"/>
          <w:lang w:val="ru-RU"/>
        </w:rPr>
        <w:t>根据对邹城市城区乔木种植抽样调查，邹城市城区乔木栽植比例达到</w:t>
      </w:r>
      <w:r>
        <w:rPr>
          <w:rFonts w:ascii="Times New Roman" w:hAnsi="Times New Roman" w:eastAsia="华文宋体" w:cs="Times New Roman"/>
          <w:sz w:val="28"/>
          <w:szCs w:val="28"/>
        </w:rPr>
        <w:t>71.16</w:t>
      </w:r>
      <w:r>
        <w:rPr>
          <w:rFonts w:ascii="Times New Roman" w:hAnsi="Times New Roman" w:eastAsia="华文宋体" w:cs="Times New Roman"/>
          <w:sz w:val="28"/>
          <w:szCs w:val="28"/>
          <w:lang w:val="ru-RU"/>
        </w:rPr>
        <w:t>%，各抽样调查样本的城区乔木栽植比例在</w:t>
      </w:r>
      <w:r>
        <w:rPr>
          <w:rFonts w:ascii="Times New Roman" w:hAnsi="Times New Roman" w:eastAsia="华文宋体" w:cs="Times New Roman"/>
          <w:sz w:val="28"/>
          <w:szCs w:val="28"/>
        </w:rPr>
        <w:t>60-86%之间。</w:t>
      </w:r>
      <w:r>
        <w:rPr>
          <w:rFonts w:ascii="Times New Roman" w:hAnsi="Times New Roman" w:eastAsia="华文宋体" w:cs="Times New Roman"/>
          <w:sz w:val="28"/>
          <w:szCs w:val="28"/>
          <w:lang w:val="ru-RU"/>
        </w:rPr>
        <w:t>达到《国家森林城市评价指标》的要求。</w:t>
      </w:r>
    </w:p>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表</w:t>
      </w:r>
      <w:r>
        <w:rPr>
          <w:rFonts w:hint="eastAsia" w:ascii="Times New Roman" w:hAnsi="Times New Roman" w:eastAsia="华文宋体" w:cs="Times New Roman"/>
          <w:sz w:val="24"/>
          <w:szCs w:val="24"/>
        </w:rPr>
        <w:t>1.</w:t>
      </w:r>
      <w:r>
        <w:rPr>
          <w:rFonts w:ascii="Times New Roman" w:hAnsi="Times New Roman" w:eastAsia="华文宋体" w:cs="Times New Roman"/>
          <w:sz w:val="24"/>
          <w:szCs w:val="24"/>
        </w:rPr>
        <w:t xml:space="preserve">5-1 邹城市建成区乔木种植比例抽样调查表    </w:t>
      </w:r>
    </w:p>
    <w:p>
      <w:pPr>
        <w:jc w:val="right"/>
        <w:rPr>
          <w:rFonts w:ascii="Times New Roman" w:hAnsi="Times New Roman" w:eastAsia="华文宋体" w:cs="Times New Roman"/>
          <w:sz w:val="24"/>
          <w:szCs w:val="24"/>
        </w:rPr>
      </w:pPr>
      <w:r>
        <w:rPr>
          <w:rFonts w:ascii="Times New Roman" w:hAnsi="Times New Roman" w:eastAsia="华文宋体" w:cs="Times New Roman"/>
          <w:sz w:val="24"/>
          <w:szCs w:val="24"/>
        </w:rPr>
        <w:t>单位：公顷、%</w:t>
      </w:r>
    </w:p>
    <w:tbl>
      <w:tblPr>
        <w:tblStyle w:val="15"/>
        <w:tblW w:w="8520" w:type="dxa"/>
        <w:tblInd w:w="0" w:type="dxa"/>
        <w:tblLayout w:type="fixed"/>
        <w:tblCellMar>
          <w:top w:w="15" w:type="dxa"/>
          <w:left w:w="15" w:type="dxa"/>
          <w:bottom w:w="15" w:type="dxa"/>
          <w:right w:w="15" w:type="dxa"/>
        </w:tblCellMar>
      </w:tblPr>
      <w:tblGrid>
        <w:gridCol w:w="631"/>
        <w:gridCol w:w="1940"/>
        <w:gridCol w:w="930"/>
        <w:gridCol w:w="1035"/>
        <w:gridCol w:w="1575"/>
        <w:gridCol w:w="1185"/>
        <w:gridCol w:w="1224"/>
      </w:tblGrid>
      <w:tr>
        <w:tblPrEx>
          <w:tblLayout w:type="fixed"/>
          <w:tblCellMar>
            <w:top w:w="15" w:type="dxa"/>
            <w:left w:w="15" w:type="dxa"/>
            <w:bottom w:w="15" w:type="dxa"/>
            <w:right w:w="15" w:type="dxa"/>
          </w:tblCellMar>
        </w:tblPrEx>
        <w:trPr>
          <w:trHeight w:val="648" w:hRule="atLeast"/>
          <w:tblHeader/>
        </w:trPr>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序号</w:t>
            </w:r>
          </w:p>
        </w:tc>
        <w:tc>
          <w:tcPr>
            <w:tcW w:w="1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绿地名称</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绿地总面积</w:t>
            </w:r>
          </w:p>
        </w:tc>
        <w:tc>
          <w:tcPr>
            <w:tcW w:w="2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乔木树种数量</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乔木种植</w:t>
            </w:r>
            <w:r>
              <w:rPr>
                <w:rFonts w:ascii="Times New Roman" w:hAnsi="Times New Roman" w:eastAsia="华文宋体" w:cs="Times New Roman"/>
                <w:color w:val="000000"/>
                <w:kern w:val="0"/>
                <w:sz w:val="26"/>
                <w:szCs w:val="26"/>
                <w:lang w:bidi="ar"/>
              </w:rPr>
              <w:br w:type="textWrapping"/>
            </w:r>
            <w:r>
              <w:rPr>
                <w:rFonts w:ascii="Times New Roman" w:hAnsi="Times New Roman" w:eastAsia="华文宋体" w:cs="Times New Roman"/>
                <w:color w:val="000000"/>
                <w:kern w:val="0"/>
                <w:sz w:val="26"/>
                <w:szCs w:val="26"/>
                <w:lang w:bidi="ar"/>
              </w:rPr>
              <w:t>面积</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 xml:space="preserve"> 乔木种植</w:t>
            </w:r>
            <w:r>
              <w:rPr>
                <w:rFonts w:ascii="Times New Roman" w:hAnsi="Times New Roman" w:eastAsia="华文宋体" w:cs="Times New Roman"/>
                <w:color w:val="000000"/>
                <w:kern w:val="0"/>
                <w:sz w:val="26"/>
                <w:szCs w:val="26"/>
                <w:lang w:bidi="ar"/>
              </w:rPr>
              <w:br w:type="textWrapping"/>
            </w:r>
            <w:r>
              <w:rPr>
                <w:rFonts w:ascii="Times New Roman" w:hAnsi="Times New Roman" w:eastAsia="华文宋体" w:cs="Times New Roman"/>
                <w:color w:val="000000"/>
                <w:kern w:val="0"/>
                <w:sz w:val="26"/>
                <w:szCs w:val="26"/>
                <w:lang w:bidi="ar"/>
              </w:rPr>
              <w:t>比例</w:t>
            </w:r>
          </w:p>
        </w:tc>
      </w:tr>
      <w:tr>
        <w:tblPrEx>
          <w:tblLayout w:type="fixed"/>
          <w:tblCellMar>
            <w:top w:w="15" w:type="dxa"/>
            <w:left w:w="15" w:type="dxa"/>
            <w:bottom w:w="15" w:type="dxa"/>
            <w:right w:w="15" w:type="dxa"/>
          </w:tblCellMar>
        </w:tblPrEx>
        <w:trPr>
          <w:trHeight w:val="1217" w:hRule="atLeast"/>
          <w:tblHeader/>
        </w:trPr>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6"/>
                <w:szCs w:val="26"/>
              </w:rPr>
            </w:pPr>
          </w:p>
        </w:tc>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6"/>
                <w:szCs w:val="26"/>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6"/>
                <w:szCs w:val="26"/>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总株数</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6"/>
                <w:szCs w:val="26"/>
                <w:lang w:bidi="ar"/>
              </w:rPr>
            </w:pPr>
            <w:r>
              <w:rPr>
                <w:rFonts w:ascii="Times New Roman" w:hAnsi="Times New Roman" w:eastAsia="华文宋体" w:cs="Times New Roman"/>
                <w:color w:val="000000"/>
                <w:kern w:val="0"/>
                <w:sz w:val="26"/>
                <w:szCs w:val="26"/>
                <w:lang w:bidi="ar"/>
              </w:rPr>
              <w:t>其中:D≥5cm</w:t>
            </w:r>
          </w:p>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株数</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6"/>
                <w:szCs w:val="26"/>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6"/>
                <w:szCs w:val="26"/>
              </w:rPr>
            </w:pP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护驾山公园</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184.00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16.53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10.76</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135.00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 xml:space="preserve">73.37 </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2</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唐王河公园</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66.50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5.54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3.38</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40.00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60.15</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3</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铁山公园</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40.02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3.33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2.77</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sz w:val="26"/>
                <w:szCs w:val="26"/>
              </w:rPr>
              <w:t>34.20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 xml:space="preserve">85.46 </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4</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金山大道(路)</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22.50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1.88</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1.18</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16.35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 xml:space="preserve">72.67 </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5</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成功路</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3.46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0.29</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0.20</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2.82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 xml:space="preserve">81.50 </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6</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智慧路</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7.12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0.59</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0.41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sz w:val="26"/>
                <w:szCs w:val="26"/>
              </w:rPr>
              <w:t>5.34</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sz w:val="26"/>
                <w:szCs w:val="26"/>
              </w:rPr>
              <w:t>75.00</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7</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themeColor="text1"/>
                <w:kern w:val="0"/>
                <w:sz w:val="26"/>
                <w:szCs w:val="26"/>
                <w14:textFill>
                  <w14:solidFill>
                    <w14:schemeClr w14:val="tx1"/>
                  </w14:solidFill>
                </w14:textFill>
              </w:rPr>
              <w:t>雍景苑小区</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2.89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0.24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0.13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1.88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sz w:val="26"/>
                <w:szCs w:val="26"/>
              </w:rPr>
              <w:t>65.05</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8</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themeColor="text1"/>
                <w:kern w:val="0"/>
                <w:sz w:val="26"/>
                <w:szCs w:val="26"/>
                <w14:textFill>
                  <w14:solidFill>
                    <w14:schemeClr w14:val="tx1"/>
                  </w14:solidFill>
                </w14:textFill>
              </w:rPr>
              <w:t>名鉴田园</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2.82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0.23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0.15</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sz w:val="26"/>
                <w:szCs w:val="26"/>
              </w:rPr>
              <w:t>2.05</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sz w:val="26"/>
                <w:szCs w:val="26"/>
              </w:rPr>
              <w:t>72.70</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9</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鸿顺御景城</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2.80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0.23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0.14</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1.80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sz w:val="26"/>
                <w:szCs w:val="26"/>
              </w:rPr>
              <w:t>64.29</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10</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商务中心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6.90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0.57</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0.37</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4.20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sz w:val="26"/>
                <w:szCs w:val="26"/>
              </w:rPr>
              <w:t>60.87</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11</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政务中心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4.60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0.38</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0.25</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3.00</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65.22</w:t>
            </w:r>
          </w:p>
        </w:tc>
      </w:tr>
      <w:tr>
        <w:tblPrEx>
          <w:tblLayout w:type="fixed"/>
          <w:tblCellMar>
            <w:top w:w="15" w:type="dxa"/>
            <w:left w:w="15" w:type="dxa"/>
            <w:bottom w:w="15" w:type="dxa"/>
            <w:right w:w="15" w:type="dxa"/>
          </w:tblCellMar>
        </w:tblPrEx>
        <w:trPr>
          <w:trHeight w:val="648"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12</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公安局技术用房</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0.60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0.05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0.03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0.38</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63.33</w:t>
            </w:r>
          </w:p>
        </w:tc>
      </w:tr>
      <w:tr>
        <w:tblPrEx>
          <w:tblLayout w:type="fixed"/>
          <w:tblCellMar>
            <w:top w:w="15" w:type="dxa"/>
            <w:left w:w="15" w:type="dxa"/>
            <w:bottom w:w="15" w:type="dxa"/>
            <w:right w:w="15" w:type="dxa"/>
          </w:tblCellMar>
        </w:tblPrEx>
        <w:trPr>
          <w:trHeight w:val="657"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6"/>
                <w:szCs w:val="26"/>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总计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344.21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29.86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19.77</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247.02</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sz w:val="26"/>
                <w:szCs w:val="26"/>
              </w:rPr>
              <w:t>71.76</w:t>
            </w:r>
          </w:p>
        </w:tc>
      </w:tr>
    </w:tbl>
    <w:p>
      <w:pPr>
        <w:pStyle w:val="5"/>
      </w:pPr>
      <w:r>
        <w:rPr>
          <w:rFonts w:hint="eastAsia"/>
        </w:rPr>
        <w:t xml:space="preserve">1.5.4 </w:t>
      </w:r>
      <w:r>
        <w:t>支撑材料</w:t>
      </w:r>
    </w:p>
    <w:p>
      <w:pPr>
        <w:numPr>
          <w:ilvl w:val="0"/>
          <w:numId w:val="6"/>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numPr>
          <w:ilvl w:val="0"/>
          <w:numId w:val="6"/>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邹城市建成区乔木树种种植比例抽样调查表</w:t>
      </w:r>
    </w:p>
    <w:p>
      <w:pPr>
        <w:numPr>
          <w:ilvl w:val="0"/>
          <w:numId w:val="6"/>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邹城市城区绿化树种抽样调查统计表</w:t>
      </w:r>
    </w:p>
    <w:p>
      <w:pPr>
        <w:numPr>
          <w:ilvl w:val="0"/>
          <w:numId w:val="6"/>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邹城市城区绿化树种丰富度统计表</w:t>
      </w:r>
    </w:p>
    <w:p>
      <w:pPr>
        <w:numPr>
          <w:ilvl w:val="0"/>
          <w:numId w:val="6"/>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邹城市城区绿化乡土树种使用统计表</w:t>
      </w:r>
    </w:p>
    <w:p>
      <w:pPr>
        <w:numPr>
          <w:ilvl w:val="0"/>
          <w:numId w:val="6"/>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邹城市唐王湖南岸水杉栽植及唐王河南岸升级改造工程施工竞争性磋商文件</w:t>
      </w:r>
    </w:p>
    <w:p>
      <w:pPr>
        <w:numPr>
          <w:ilvl w:val="0"/>
          <w:numId w:val="6"/>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邹城市公园路西延及昌平山路绿化工程竞争性磋商文件</w:t>
      </w:r>
    </w:p>
    <w:p>
      <w:pPr>
        <w:numPr>
          <w:ilvl w:val="0"/>
          <w:numId w:val="6"/>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9" w:name="_Toc519373542"/>
      <w:r>
        <w:rPr>
          <w:rFonts w:hint="eastAsia"/>
        </w:rPr>
        <w:t xml:space="preserve">1.6 </w:t>
      </w:r>
      <w:r>
        <w:t>城区街道绿化</w:t>
      </w:r>
      <w:bookmarkEnd w:id="9"/>
    </w:p>
    <w:p>
      <w:pPr>
        <w:pStyle w:val="5"/>
      </w:pPr>
      <w:r>
        <w:rPr>
          <w:rFonts w:hint="eastAsia"/>
        </w:rPr>
        <w:t xml:space="preserve">1.6.1 </w:t>
      </w:r>
      <w:r>
        <w:t>指标要求</w:t>
      </w:r>
    </w:p>
    <w:p>
      <w:p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城区街道的树冠覆盖率达到 25%以上。</w:t>
      </w:r>
    </w:p>
    <w:p>
      <w:pPr>
        <w:pStyle w:val="5"/>
      </w:pPr>
      <w:r>
        <w:rPr>
          <w:rFonts w:hint="eastAsia"/>
        </w:rPr>
        <w:t xml:space="preserve">1.6.2 </w:t>
      </w:r>
      <w:r>
        <w:t>方法步骤</w:t>
      </w:r>
    </w:p>
    <w:p>
      <w:pPr>
        <w:spacing w:line="360" w:lineRule="auto"/>
        <w:ind w:firstLine="560" w:firstLineChars="200"/>
        <w:jc w:val="left"/>
        <w:rPr>
          <w:rFonts w:ascii="Times New Roman" w:hAnsi="Times New Roman" w:eastAsia="华文宋体" w:cs="Times New Roman"/>
          <w:sz w:val="28"/>
        </w:rPr>
      </w:pPr>
      <w:r>
        <w:rPr>
          <w:rFonts w:ascii="Times New Roman" w:hAnsi="Times New Roman" w:eastAsia="华文宋体" w:cs="Times New Roman"/>
          <w:sz w:val="28"/>
        </w:rPr>
        <w:t>在邹城市园林局和林业局工作人员的陪同下开展城区街道树冠覆盖率的抽样调查。抽样调查时，在被调查的道路选择具有代表性的地段布置3-5 条样线，样线方向为道路的纵段面，用皮尺在设置好的样线上分别量出道路的宽度以及树冠所覆盖的样线长度，两者的比值即为该样线的树冠覆盖率，对该街道样线树冠覆盖率进行加权平均即为该街道</w:t>
      </w:r>
    </w:p>
    <w:p>
      <w:pPr>
        <w:tabs>
          <w:tab w:val="left" w:pos="2511"/>
        </w:tabs>
        <w:spacing w:line="360" w:lineRule="auto"/>
        <w:rPr>
          <w:rFonts w:ascii="Times New Roman" w:hAnsi="Times New Roman" w:eastAsia="华文宋体" w:cs="Times New Roman"/>
          <w:sz w:val="28"/>
        </w:rPr>
      </w:pPr>
      <w:r>
        <w:rPr>
          <w:rFonts w:ascii="Times New Roman" w:hAnsi="Times New Roman" w:eastAsia="华文宋体" w:cs="Times New Roman"/>
          <w:sz w:val="28"/>
        </w:rPr>
        <w:t>树冠盖率。</w:t>
      </w:r>
    </w:p>
    <w:p>
      <w:pPr>
        <w:pStyle w:val="5"/>
      </w:pPr>
      <w:r>
        <w:rPr>
          <w:rFonts w:hint="eastAsia"/>
        </w:rPr>
        <w:t xml:space="preserve">1.6.3 </w:t>
      </w:r>
      <w:r>
        <w:t>自查结果</w:t>
      </w:r>
    </w:p>
    <w:p>
      <w:p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自创建国家森林城市以来，邹城市视道路绿地为组织和联络各类绿地的网络和命脉，是城市的“景线”。邹城市加大对街道绿化提升，选择景观效果好的乡土树种植物进行栽植，形成“三季观花，四季常绿”的绿色通道。邹城市行道树树种选择主要以悬铃木、国槐、臭椿、栾树、白蜡等为主，搭配种植花灌木如紫叶李、海棠等。</w:t>
      </w:r>
    </w:p>
    <w:p>
      <w:p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根据对邹城市建成区7条主要街道的调查，7条主要街道总面积为47800</w:t>
      </w:r>
      <w:r>
        <w:rPr>
          <w:rFonts w:hint="eastAsia" w:ascii="Times New Roman" w:hAnsi="Times New Roman" w:eastAsia="华文宋体" w:cs="Times New Roman"/>
          <w:sz w:val="28"/>
          <w:szCs w:val="28"/>
          <w:lang w:val="en-US" w:eastAsia="zh-CN"/>
        </w:rPr>
        <w:t>平方米</w:t>
      </w:r>
      <w:r>
        <w:rPr>
          <w:rFonts w:ascii="Times New Roman" w:hAnsi="Times New Roman" w:eastAsia="华文宋体" w:cs="Times New Roman"/>
          <w:sz w:val="28"/>
          <w:szCs w:val="28"/>
        </w:rPr>
        <w:t>，树冠覆盖样线总面积为16235</w:t>
      </w:r>
      <w:r>
        <w:rPr>
          <w:rFonts w:hint="eastAsia" w:ascii="Times New Roman" w:hAnsi="Times New Roman" w:eastAsia="华文宋体" w:cs="Times New Roman"/>
          <w:sz w:val="28"/>
          <w:szCs w:val="28"/>
          <w:lang w:val="en-US" w:eastAsia="zh-CN"/>
        </w:rPr>
        <w:t>平方米</w:t>
      </w:r>
      <w:r>
        <w:rPr>
          <w:rFonts w:ascii="Times New Roman" w:hAnsi="Times New Roman" w:eastAsia="华文宋体" w:cs="Times New Roman"/>
          <w:sz w:val="28"/>
          <w:szCs w:val="28"/>
        </w:rPr>
        <w:t>，建成区街道树冠覆盖率达到33.96%，抽样调查中各样本街道树冠覆盖率在25.6-75.0%之间，因此邹城市建成区街道树冠覆盖率均超过25%。达到《国家森林城市评价指标》的要求。</w:t>
      </w:r>
    </w:p>
    <w:p>
      <w:pPr>
        <w:jc w:val="center"/>
        <w:rPr>
          <w:rFonts w:ascii="Times New Roman" w:hAnsi="Times New Roman" w:eastAsia="华文宋体" w:cs="Times New Roman"/>
          <w:sz w:val="28"/>
          <w:szCs w:val="28"/>
        </w:rPr>
      </w:pPr>
      <w:r>
        <w:rPr>
          <w:rFonts w:ascii="Times New Roman" w:hAnsi="Times New Roman" w:eastAsia="华文宋体" w:cs="Times New Roman"/>
          <w:sz w:val="28"/>
          <w:szCs w:val="28"/>
        </w:rPr>
        <w:t>表</w:t>
      </w:r>
      <w:r>
        <w:rPr>
          <w:rFonts w:hint="eastAsia" w:ascii="Times New Roman" w:hAnsi="Times New Roman" w:eastAsia="华文宋体" w:cs="Times New Roman"/>
          <w:sz w:val="28"/>
          <w:szCs w:val="28"/>
        </w:rPr>
        <w:t>1.</w:t>
      </w:r>
      <w:r>
        <w:rPr>
          <w:rFonts w:ascii="Times New Roman" w:hAnsi="Times New Roman" w:eastAsia="华文宋体" w:cs="Times New Roman"/>
          <w:sz w:val="28"/>
          <w:szCs w:val="28"/>
        </w:rPr>
        <w:t>6-1 邹城市建成区街道树冠覆盖率抽样调查统计表</w:t>
      </w:r>
    </w:p>
    <w:p>
      <w:pPr>
        <w:jc w:val="right"/>
        <w:rPr>
          <w:rFonts w:ascii="Times New Roman" w:hAnsi="Times New Roman" w:eastAsia="华文宋体" w:cs="Times New Roman"/>
          <w:sz w:val="28"/>
          <w:szCs w:val="28"/>
        </w:rPr>
      </w:pPr>
      <w:r>
        <w:rPr>
          <w:rFonts w:ascii="Times New Roman" w:hAnsi="Times New Roman" w:eastAsia="华文宋体" w:cs="Times New Roman"/>
          <w:sz w:val="28"/>
          <w:szCs w:val="28"/>
        </w:rPr>
        <w:t>单位：</w:t>
      </w:r>
      <w:r>
        <w:rPr>
          <w:rFonts w:hint="eastAsia" w:ascii="Times New Roman" w:hAnsi="Times New Roman" w:eastAsia="华文宋体" w:cs="Times New Roman"/>
          <w:sz w:val="28"/>
          <w:szCs w:val="28"/>
          <w:lang w:val="en-US" w:eastAsia="zh-CN"/>
        </w:rPr>
        <w:t>平方米</w:t>
      </w:r>
      <w:r>
        <w:rPr>
          <w:rFonts w:ascii="Times New Roman" w:hAnsi="Times New Roman" w:eastAsia="华文宋体" w:cs="Times New Roman"/>
          <w:sz w:val="28"/>
          <w:szCs w:val="28"/>
        </w:rPr>
        <w:t>、%</w:t>
      </w:r>
    </w:p>
    <w:tbl>
      <w:tblPr>
        <w:tblStyle w:val="15"/>
        <w:tblW w:w="833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
      <w:tblGrid>
        <w:gridCol w:w="792"/>
        <w:gridCol w:w="1822"/>
        <w:gridCol w:w="1525"/>
        <w:gridCol w:w="2296"/>
        <w:gridCol w:w="190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615" w:hRule="atLeast"/>
        </w:trPr>
        <w:tc>
          <w:tcPr>
            <w:tcW w:w="79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序号</w:t>
            </w:r>
          </w:p>
        </w:tc>
        <w:tc>
          <w:tcPr>
            <w:tcW w:w="182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街道</w:t>
            </w:r>
            <w:r>
              <w:rPr>
                <w:rFonts w:ascii="Times New Roman" w:hAnsi="Times New Roman" w:eastAsia="华文宋体" w:cs="Times New Roman"/>
                <w:color w:val="000000"/>
                <w:kern w:val="0"/>
                <w:sz w:val="24"/>
                <w:szCs w:val="24"/>
                <w:lang w:bidi="ar"/>
              </w:rPr>
              <w:br w:type="textWrapping"/>
            </w:r>
            <w:r>
              <w:rPr>
                <w:rFonts w:ascii="Times New Roman" w:hAnsi="Times New Roman" w:eastAsia="华文宋体" w:cs="Times New Roman"/>
                <w:color w:val="000000"/>
                <w:kern w:val="0"/>
                <w:sz w:val="24"/>
                <w:szCs w:val="24"/>
                <w:lang w:bidi="ar"/>
              </w:rPr>
              <w:t>名称</w:t>
            </w:r>
          </w:p>
        </w:tc>
        <w:tc>
          <w:tcPr>
            <w:tcW w:w="1525"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街道面积</w:t>
            </w:r>
          </w:p>
        </w:tc>
        <w:tc>
          <w:tcPr>
            <w:tcW w:w="2296"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被树冠覆盖的</w:t>
            </w:r>
            <w:r>
              <w:rPr>
                <w:rFonts w:ascii="Times New Roman" w:hAnsi="Times New Roman" w:eastAsia="华文宋体" w:cs="Times New Roman"/>
                <w:color w:val="000000"/>
                <w:kern w:val="0"/>
                <w:sz w:val="24"/>
                <w:szCs w:val="24"/>
                <w:lang w:bidi="ar"/>
              </w:rPr>
              <w:br w:type="textWrapping"/>
            </w:r>
            <w:r>
              <w:rPr>
                <w:rFonts w:ascii="Times New Roman" w:hAnsi="Times New Roman" w:eastAsia="华文宋体" w:cs="Times New Roman"/>
                <w:color w:val="000000"/>
                <w:kern w:val="0"/>
                <w:sz w:val="24"/>
                <w:szCs w:val="24"/>
                <w:lang w:bidi="ar"/>
              </w:rPr>
              <w:t>样线面积</w:t>
            </w:r>
          </w:p>
        </w:tc>
        <w:tc>
          <w:tcPr>
            <w:tcW w:w="1901"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城区街道的</w:t>
            </w:r>
            <w:r>
              <w:rPr>
                <w:rFonts w:ascii="Times New Roman" w:hAnsi="Times New Roman" w:eastAsia="华文宋体" w:cs="Times New Roman"/>
                <w:color w:val="000000"/>
                <w:kern w:val="0"/>
                <w:sz w:val="24"/>
                <w:szCs w:val="24"/>
                <w:lang w:bidi="ar"/>
              </w:rPr>
              <w:br w:type="textWrapping"/>
            </w:r>
            <w:r>
              <w:rPr>
                <w:rFonts w:ascii="Times New Roman" w:hAnsi="Times New Roman" w:eastAsia="华文宋体" w:cs="Times New Roman"/>
                <w:color w:val="000000"/>
                <w:kern w:val="0"/>
                <w:sz w:val="24"/>
                <w:szCs w:val="24"/>
                <w:lang w:bidi="ar"/>
              </w:rPr>
              <w:t>树冠覆盖率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360" w:hRule="atLeast"/>
        </w:trPr>
        <w:tc>
          <w:tcPr>
            <w:tcW w:w="79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1</w:t>
            </w:r>
          </w:p>
        </w:tc>
        <w:tc>
          <w:tcPr>
            <w:tcW w:w="182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智慧路</w:t>
            </w:r>
          </w:p>
        </w:tc>
        <w:tc>
          <w:tcPr>
            <w:tcW w:w="1525"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11500.00</w:t>
            </w:r>
          </w:p>
        </w:tc>
        <w:tc>
          <w:tcPr>
            <w:tcW w:w="2296"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3200.00</w:t>
            </w:r>
          </w:p>
        </w:tc>
        <w:tc>
          <w:tcPr>
            <w:tcW w:w="1901"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27.8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360" w:hRule="atLeast"/>
        </w:trPr>
        <w:tc>
          <w:tcPr>
            <w:tcW w:w="79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2</w:t>
            </w:r>
          </w:p>
        </w:tc>
        <w:tc>
          <w:tcPr>
            <w:tcW w:w="182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普阳山路</w:t>
            </w:r>
          </w:p>
        </w:tc>
        <w:tc>
          <w:tcPr>
            <w:tcW w:w="1525"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7800.00</w:t>
            </w:r>
          </w:p>
        </w:tc>
        <w:tc>
          <w:tcPr>
            <w:tcW w:w="2296"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2000.00</w:t>
            </w:r>
          </w:p>
        </w:tc>
        <w:tc>
          <w:tcPr>
            <w:tcW w:w="1901"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25.6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360" w:hRule="atLeast"/>
        </w:trPr>
        <w:tc>
          <w:tcPr>
            <w:tcW w:w="79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3</w:t>
            </w:r>
          </w:p>
        </w:tc>
        <w:tc>
          <w:tcPr>
            <w:tcW w:w="182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护驾山路</w:t>
            </w:r>
          </w:p>
        </w:tc>
        <w:tc>
          <w:tcPr>
            <w:tcW w:w="1525"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7500.00</w:t>
            </w:r>
          </w:p>
        </w:tc>
        <w:tc>
          <w:tcPr>
            <w:tcW w:w="2296"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2000.00</w:t>
            </w:r>
          </w:p>
        </w:tc>
        <w:tc>
          <w:tcPr>
            <w:tcW w:w="1901"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26.7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615" w:hRule="atLeast"/>
        </w:trPr>
        <w:tc>
          <w:tcPr>
            <w:tcW w:w="79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4</w:t>
            </w:r>
          </w:p>
        </w:tc>
        <w:tc>
          <w:tcPr>
            <w:tcW w:w="182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金山大道</w:t>
            </w:r>
          </w:p>
        </w:tc>
        <w:tc>
          <w:tcPr>
            <w:tcW w:w="1525"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8500.00</w:t>
            </w:r>
          </w:p>
        </w:tc>
        <w:tc>
          <w:tcPr>
            <w:tcW w:w="2296"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3060.00</w:t>
            </w:r>
          </w:p>
        </w:tc>
        <w:tc>
          <w:tcPr>
            <w:tcW w:w="1901"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36.0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360" w:hRule="atLeast"/>
        </w:trPr>
        <w:tc>
          <w:tcPr>
            <w:tcW w:w="79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5</w:t>
            </w:r>
          </w:p>
        </w:tc>
        <w:tc>
          <w:tcPr>
            <w:tcW w:w="182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西苇路</w:t>
            </w:r>
          </w:p>
        </w:tc>
        <w:tc>
          <w:tcPr>
            <w:tcW w:w="1525"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6000.00</w:t>
            </w:r>
          </w:p>
        </w:tc>
        <w:tc>
          <w:tcPr>
            <w:tcW w:w="2296"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2700.00</w:t>
            </w:r>
          </w:p>
        </w:tc>
        <w:tc>
          <w:tcPr>
            <w:tcW w:w="1901"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45.0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360" w:hRule="atLeast"/>
        </w:trPr>
        <w:tc>
          <w:tcPr>
            <w:tcW w:w="79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6</w:t>
            </w:r>
          </w:p>
        </w:tc>
        <w:tc>
          <w:tcPr>
            <w:tcW w:w="182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成功路</w:t>
            </w:r>
          </w:p>
        </w:tc>
        <w:tc>
          <w:tcPr>
            <w:tcW w:w="1525"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4000.00</w:t>
            </w:r>
          </w:p>
        </w:tc>
        <w:tc>
          <w:tcPr>
            <w:tcW w:w="2296"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1400.00</w:t>
            </w:r>
          </w:p>
        </w:tc>
        <w:tc>
          <w:tcPr>
            <w:tcW w:w="1901"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35.0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360" w:hRule="atLeast"/>
        </w:trPr>
        <w:tc>
          <w:tcPr>
            <w:tcW w:w="79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7</w:t>
            </w:r>
          </w:p>
        </w:tc>
        <w:tc>
          <w:tcPr>
            <w:tcW w:w="1822"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龙山路</w:t>
            </w:r>
          </w:p>
        </w:tc>
        <w:tc>
          <w:tcPr>
            <w:tcW w:w="1525"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2500.00</w:t>
            </w:r>
          </w:p>
        </w:tc>
        <w:tc>
          <w:tcPr>
            <w:tcW w:w="2296"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1875.00</w:t>
            </w:r>
          </w:p>
        </w:tc>
        <w:tc>
          <w:tcPr>
            <w:tcW w:w="1901"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75.0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5" w:type="dxa"/>
            <w:left w:w="15" w:type="dxa"/>
            <w:bottom w:w="15" w:type="dxa"/>
            <w:right w:w="15" w:type="dxa"/>
          </w:tblCellMar>
        </w:tblPrEx>
        <w:trPr>
          <w:trHeight w:val="375" w:hRule="atLeast"/>
        </w:trPr>
        <w:tc>
          <w:tcPr>
            <w:tcW w:w="2614" w:type="dxa"/>
            <w:gridSpan w:val="2"/>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合计</w:t>
            </w:r>
          </w:p>
        </w:tc>
        <w:tc>
          <w:tcPr>
            <w:tcW w:w="1525"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47800.00</w:t>
            </w:r>
          </w:p>
        </w:tc>
        <w:tc>
          <w:tcPr>
            <w:tcW w:w="2296"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16235.00</w:t>
            </w:r>
          </w:p>
        </w:tc>
        <w:tc>
          <w:tcPr>
            <w:tcW w:w="1901" w:type="dxa"/>
            <w:tcBorders>
              <w:tl2br w:val="nil"/>
              <w:tr2bl w:val="nil"/>
            </w:tcBorders>
            <w:shd w:val="clear" w:color="auto" w:fill="auto"/>
            <w:vAlign w:val="center"/>
          </w:tcPr>
          <w:p>
            <w:pPr>
              <w:widowControl/>
              <w:jc w:val="center"/>
              <w:textAlignment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kern w:val="0"/>
                <w:sz w:val="24"/>
                <w:szCs w:val="24"/>
                <w:lang w:bidi="ar"/>
              </w:rPr>
              <w:t>33.96</w:t>
            </w:r>
          </w:p>
        </w:tc>
      </w:tr>
    </w:tbl>
    <w:p>
      <w:pPr>
        <w:pStyle w:val="5"/>
      </w:pPr>
      <w:r>
        <w:rPr>
          <w:rFonts w:hint="eastAsia"/>
        </w:rPr>
        <w:t xml:space="preserve">1.6.4 </w:t>
      </w:r>
      <w:r>
        <w:t>支撑材料</w:t>
      </w:r>
    </w:p>
    <w:p>
      <w:pPr>
        <w:numPr>
          <w:ilvl w:val="0"/>
          <w:numId w:val="7"/>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numPr>
          <w:ilvl w:val="0"/>
          <w:numId w:val="7"/>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邹城市建成区街道树冠覆盖率抽样调查统计表</w:t>
      </w:r>
    </w:p>
    <w:p>
      <w:pPr>
        <w:numPr>
          <w:ilvl w:val="0"/>
          <w:numId w:val="7"/>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邹城市城区绿化树种抽样调查统计表</w:t>
      </w:r>
    </w:p>
    <w:p>
      <w:pPr>
        <w:numPr>
          <w:ilvl w:val="0"/>
          <w:numId w:val="7"/>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邹城市公园路西延及昌平山路绿化工程竞争性磋商文件</w:t>
      </w:r>
    </w:p>
    <w:p>
      <w:pPr>
        <w:numPr>
          <w:ilvl w:val="0"/>
          <w:numId w:val="7"/>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邹城市现代路绿化工程竞争性磋商文件</w:t>
      </w:r>
    </w:p>
    <w:p>
      <w:pPr>
        <w:numPr>
          <w:ilvl w:val="0"/>
          <w:numId w:val="7"/>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邹城市和平路绿化工程竞争性磋商文件</w:t>
      </w:r>
    </w:p>
    <w:p>
      <w:pPr>
        <w:numPr>
          <w:ilvl w:val="0"/>
          <w:numId w:val="7"/>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邹城市成功路绿化工程竞争性磋商文件</w:t>
      </w:r>
    </w:p>
    <w:p>
      <w:pPr>
        <w:numPr>
          <w:ilvl w:val="0"/>
          <w:numId w:val="7"/>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10" w:name="_Toc519373543"/>
      <w:r>
        <w:rPr>
          <w:rFonts w:hint="eastAsia"/>
        </w:rPr>
        <w:t xml:space="preserve">1.7 </w:t>
      </w:r>
      <w:r>
        <w:t>城区地面停车场绿化</w:t>
      </w:r>
      <w:bookmarkEnd w:id="10"/>
    </w:p>
    <w:p>
      <w:pPr>
        <w:pStyle w:val="5"/>
      </w:pPr>
      <w:r>
        <w:rPr>
          <w:rFonts w:hint="eastAsia"/>
        </w:rPr>
        <w:t xml:space="preserve">1.7.1 </w:t>
      </w:r>
      <w:r>
        <w:t>指标要求</w:t>
      </w:r>
    </w:p>
    <w:p>
      <w:pPr>
        <w:spacing w:line="360" w:lineRule="auto"/>
        <w:ind w:left="561" w:leftChars="267"/>
        <w:rPr>
          <w:rFonts w:ascii="Times New Roman" w:hAnsi="Times New Roman" w:eastAsia="华文宋体" w:cs="Times New Roman"/>
          <w:sz w:val="28"/>
          <w:szCs w:val="28"/>
        </w:rPr>
      </w:pPr>
      <w:r>
        <w:rPr>
          <w:rFonts w:ascii="Times New Roman" w:hAnsi="Times New Roman" w:eastAsia="华文宋体" w:cs="Times New Roman"/>
          <w:sz w:val="28"/>
          <w:szCs w:val="28"/>
        </w:rPr>
        <w:t xml:space="preserve">城区新建地面停车场乔木树冠覆盖率达30%以上。 </w:t>
      </w:r>
    </w:p>
    <w:p>
      <w:pPr>
        <w:pStyle w:val="5"/>
      </w:pPr>
      <w:r>
        <w:rPr>
          <w:rFonts w:hint="eastAsia"/>
        </w:rPr>
        <w:t xml:space="preserve">1.7.2 </w:t>
      </w:r>
      <w:r>
        <w:t>方法步骤</w:t>
      </w:r>
    </w:p>
    <w:p>
      <w:pPr>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rPr>
        <w:t>在邹城市园林局和林业局工作人员的陪同下对城区内新建7处地面停车场开展乔木树冠覆盖率调查。测量停车场面积和乔木树冠覆盖面积，从而计算城区新建地面停车场的乔木树冠覆盖率。</w:t>
      </w:r>
    </w:p>
    <w:p>
      <w:pPr>
        <w:pStyle w:val="5"/>
      </w:pPr>
      <w:r>
        <w:rPr>
          <w:rFonts w:hint="eastAsia"/>
        </w:rPr>
        <w:t xml:space="preserve">1.7.3 </w:t>
      </w:r>
      <w:r>
        <w:t>自查结果</w:t>
      </w:r>
    </w:p>
    <w:p>
      <w:pPr>
        <w:wordWrap w:val="0"/>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达标。自创建国家森林城市以来，</w:t>
      </w:r>
      <w:r>
        <w:rPr>
          <w:rFonts w:ascii="Times New Roman" w:hAnsi="Times New Roman" w:eastAsia="华文宋体" w:cs="Times New Roman"/>
          <w:sz w:val="28"/>
        </w:rPr>
        <w:t>邹城市把增加地面林荫停车场作为提升城区居民生活质量、改善城市生态环境的重要载体，积极推进林荫停车场的建设，将林荫停车场建设纳入城市环境建设的重要议程。</w:t>
      </w:r>
      <w:r>
        <w:rPr>
          <w:rFonts w:ascii="Times New Roman" w:hAnsi="Times New Roman" w:eastAsia="华文宋体" w:cs="Times New Roman"/>
          <w:sz w:val="28"/>
          <w:szCs w:val="28"/>
        </w:rPr>
        <w:t>邹城市对新建停车场全部按林荫化标准进行绿化建设，提倡全冠大苗种植，同时增加原有地面停车场的乔木树冠覆盖率。</w:t>
      </w:r>
      <w:r>
        <w:rPr>
          <w:rFonts w:ascii="Times New Roman" w:hAnsi="Times New Roman" w:eastAsia="华文宋体" w:cs="Times New Roman"/>
          <w:sz w:val="28"/>
        </w:rPr>
        <w:t>目前，邹城市停车场内绿化树种主要有法桐、栾树、白蜡等高大浓荫型乔木树种。</w:t>
      </w:r>
      <w:r>
        <w:rPr>
          <w:rFonts w:ascii="Times New Roman" w:hAnsi="Times New Roman" w:eastAsia="华文宋体" w:cs="Times New Roman"/>
          <w:sz w:val="28"/>
          <w:szCs w:val="28"/>
        </w:rPr>
        <w:t>据调查结果表明，邹城市2016-2017年新建地面停车场面积</w:t>
      </w:r>
      <w:r>
        <w:rPr>
          <w:rFonts w:ascii="Times New Roman" w:hAnsi="Times New Roman" w:eastAsia="华文宋体" w:cs="Times New Roman"/>
          <w:kern w:val="0"/>
          <w:sz w:val="28"/>
          <w:szCs w:val="26"/>
          <w:lang w:bidi="ar"/>
        </w:rPr>
        <w:t>18490.9</w:t>
      </w:r>
      <w:r>
        <w:rPr>
          <w:rFonts w:hint="eastAsia" w:ascii="Times New Roman" w:hAnsi="Times New Roman" w:eastAsia="华文宋体" w:cs="Times New Roman"/>
          <w:sz w:val="28"/>
          <w:szCs w:val="28"/>
          <w:lang w:eastAsia="zh-CN"/>
        </w:rPr>
        <w:t>㎡</w:t>
      </w:r>
      <w:r>
        <w:rPr>
          <w:rFonts w:ascii="Times New Roman" w:hAnsi="Times New Roman" w:eastAsia="华文宋体" w:cs="Times New Roman"/>
          <w:sz w:val="28"/>
          <w:szCs w:val="28"/>
        </w:rPr>
        <w:t>，树冠覆盖面积</w:t>
      </w:r>
      <w:r>
        <w:rPr>
          <w:rFonts w:ascii="Times New Roman" w:hAnsi="Times New Roman" w:eastAsia="华文宋体" w:cs="Times New Roman"/>
          <w:color w:val="000000"/>
          <w:kern w:val="0"/>
          <w:sz w:val="28"/>
          <w:szCs w:val="28"/>
          <w:lang w:bidi="ar"/>
        </w:rPr>
        <w:t>6081.9</w:t>
      </w:r>
      <w:r>
        <w:rPr>
          <w:rFonts w:hint="eastAsia" w:ascii="Times New Roman" w:hAnsi="Times New Roman" w:eastAsia="华文宋体" w:cs="Times New Roman"/>
          <w:sz w:val="28"/>
          <w:szCs w:val="28"/>
          <w:lang w:eastAsia="zh-CN"/>
        </w:rPr>
        <w:t>㎡</w:t>
      </w:r>
      <w:r>
        <w:rPr>
          <w:rFonts w:ascii="Times New Roman" w:hAnsi="Times New Roman" w:eastAsia="华文宋体" w:cs="Times New Roman"/>
          <w:sz w:val="28"/>
          <w:szCs w:val="28"/>
        </w:rPr>
        <w:t>，树冠覆盖率达到</w:t>
      </w:r>
      <w:r>
        <w:rPr>
          <w:rFonts w:ascii="Times New Roman" w:hAnsi="Times New Roman" w:eastAsia="华文宋体" w:cs="Times New Roman"/>
          <w:kern w:val="0"/>
          <w:sz w:val="28"/>
          <w:szCs w:val="26"/>
          <w:lang w:bidi="ar"/>
        </w:rPr>
        <w:t>32.89</w:t>
      </w:r>
      <w:r>
        <w:rPr>
          <w:rFonts w:ascii="Times New Roman" w:hAnsi="Times New Roman" w:eastAsia="华文宋体" w:cs="Times New Roman"/>
          <w:sz w:val="28"/>
          <w:szCs w:val="28"/>
        </w:rPr>
        <w:t>%。达到《国家森林城市评价指标》要求。</w:t>
      </w:r>
    </w:p>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表</w:t>
      </w:r>
      <w:r>
        <w:rPr>
          <w:rFonts w:hint="eastAsia" w:ascii="Times New Roman" w:hAnsi="Times New Roman" w:eastAsia="华文宋体" w:cs="Times New Roman"/>
          <w:sz w:val="24"/>
          <w:szCs w:val="24"/>
        </w:rPr>
        <w:t>1.</w:t>
      </w:r>
      <w:r>
        <w:rPr>
          <w:rFonts w:ascii="Times New Roman" w:hAnsi="Times New Roman" w:eastAsia="华文宋体" w:cs="Times New Roman"/>
          <w:sz w:val="24"/>
          <w:szCs w:val="24"/>
        </w:rPr>
        <w:t>7-1   2016-2018年邹城市城区新建停车场乔木树冠覆盖率调查表</w:t>
      </w:r>
    </w:p>
    <w:p>
      <w:pPr>
        <w:jc w:val="right"/>
        <w:rPr>
          <w:rFonts w:ascii="Times New Roman" w:hAnsi="Times New Roman" w:eastAsia="华文宋体" w:cs="Times New Roman"/>
          <w:sz w:val="24"/>
          <w:szCs w:val="24"/>
        </w:rPr>
      </w:pPr>
      <w:r>
        <w:rPr>
          <w:rFonts w:ascii="Times New Roman" w:hAnsi="Times New Roman" w:eastAsia="华文宋体" w:cs="Times New Roman"/>
          <w:sz w:val="24"/>
          <w:szCs w:val="24"/>
        </w:rPr>
        <w:t>单位：</w:t>
      </w:r>
      <w:r>
        <w:rPr>
          <w:rFonts w:hint="eastAsia" w:ascii="Times New Roman" w:hAnsi="Times New Roman" w:eastAsia="华文宋体" w:cs="Times New Roman"/>
          <w:sz w:val="24"/>
          <w:szCs w:val="24"/>
          <w:lang w:val="en-US" w:eastAsia="zh-CN"/>
        </w:rPr>
        <w:t>平方米</w:t>
      </w:r>
      <w:r>
        <w:rPr>
          <w:rFonts w:ascii="Times New Roman" w:hAnsi="Times New Roman" w:eastAsia="华文宋体" w:cs="Times New Roman"/>
          <w:color w:val="000000"/>
          <w:kern w:val="0"/>
          <w:sz w:val="24"/>
          <w:szCs w:val="24"/>
        </w:rPr>
        <w:t>、%</w:t>
      </w:r>
    </w:p>
    <w:tbl>
      <w:tblPr>
        <w:tblStyle w:val="15"/>
        <w:tblW w:w="8760" w:type="dxa"/>
        <w:tblInd w:w="-84" w:type="dxa"/>
        <w:tblLayout w:type="fixed"/>
        <w:tblCellMar>
          <w:top w:w="15" w:type="dxa"/>
          <w:left w:w="15" w:type="dxa"/>
          <w:bottom w:w="15" w:type="dxa"/>
          <w:right w:w="15" w:type="dxa"/>
        </w:tblCellMar>
      </w:tblPr>
      <w:tblGrid>
        <w:gridCol w:w="630"/>
        <w:gridCol w:w="1665"/>
        <w:gridCol w:w="3075"/>
        <w:gridCol w:w="1035"/>
        <w:gridCol w:w="1140"/>
        <w:gridCol w:w="1215"/>
      </w:tblGrid>
      <w:tr>
        <w:tblPrEx>
          <w:tblLayout w:type="fixed"/>
          <w:tblCellMar>
            <w:top w:w="15" w:type="dxa"/>
            <w:left w:w="15" w:type="dxa"/>
            <w:bottom w:w="15" w:type="dxa"/>
            <w:right w:w="15" w:type="dxa"/>
          </w:tblCellMar>
        </w:tblPrEx>
        <w:trPr>
          <w:trHeight w:val="170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序号</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停车场位置</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停车场名称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停车场面积</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乔木树冠覆盖面积</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乔木树冠覆盖率</w:t>
            </w:r>
          </w:p>
        </w:tc>
      </w:tr>
      <w:tr>
        <w:tblPrEx>
          <w:tblLayout w:type="fixed"/>
          <w:tblCellMar>
            <w:top w:w="15" w:type="dxa"/>
            <w:left w:w="15" w:type="dxa"/>
            <w:bottom w:w="15" w:type="dxa"/>
            <w:right w:w="15" w:type="dxa"/>
          </w:tblCellMar>
        </w:tblPrEx>
        <w:trPr>
          <w:trHeight w:val="592"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凤凰山路西侧</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老法院对过林荫停车场</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1000</w:t>
            </w:r>
            <w:r>
              <w:rPr>
                <w:rFonts w:hint="eastAsia" w:ascii="Times New Roman" w:hAnsi="Times New Roman" w:eastAsia="华文宋体" w:cs="Times New Roman"/>
                <w:color w:val="000000"/>
                <w:kern w:val="0"/>
                <w:sz w:val="26"/>
                <w:szCs w:val="26"/>
                <w:lang w:eastAsia="zh-CN" w:bidi="ar"/>
              </w:rPr>
              <w:t>.</w:t>
            </w:r>
            <w:r>
              <w:rPr>
                <w:rFonts w:hint="eastAsia" w:ascii="Times New Roman" w:hAnsi="Times New Roman" w:eastAsia="华文宋体" w:cs="Times New Roman"/>
                <w:color w:val="000000"/>
                <w:kern w:val="0"/>
                <w:sz w:val="26"/>
                <w:szCs w:val="26"/>
                <w:lang w:val="en-US" w:eastAsia="zh-CN" w:bidi="ar"/>
              </w:rPr>
              <w:t>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330</w:t>
            </w:r>
            <w:r>
              <w:rPr>
                <w:rFonts w:hint="eastAsia" w:ascii="Times New Roman" w:hAnsi="Times New Roman" w:eastAsia="华文宋体" w:cs="Times New Roman"/>
                <w:color w:val="000000"/>
                <w:kern w:val="0"/>
                <w:sz w:val="26"/>
                <w:szCs w:val="26"/>
                <w:lang w:val="en-US" w:eastAsia="zh-CN" w:bidi="ar"/>
              </w:rPr>
              <w:t>.0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33</w:t>
            </w:r>
            <w:r>
              <w:rPr>
                <w:rFonts w:hint="eastAsia" w:ascii="Times New Roman" w:hAnsi="Times New Roman" w:eastAsia="华文宋体" w:cs="Times New Roman"/>
                <w:color w:val="000000"/>
                <w:kern w:val="0"/>
                <w:sz w:val="26"/>
                <w:szCs w:val="26"/>
                <w:lang w:val="en-US" w:eastAsia="zh-CN" w:bidi="ar"/>
              </w:rPr>
              <w:t>.0</w:t>
            </w:r>
          </w:p>
        </w:tc>
      </w:tr>
      <w:tr>
        <w:tblPrEx>
          <w:tblLayout w:type="fixed"/>
          <w:tblCellMar>
            <w:top w:w="15" w:type="dxa"/>
            <w:left w:w="15" w:type="dxa"/>
            <w:bottom w:w="15" w:type="dxa"/>
            <w:right w:w="15" w:type="dxa"/>
          </w:tblCellMar>
        </w:tblPrEx>
        <w:trPr>
          <w:trHeight w:val="592"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护驾山路市场</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护驾山路市场林荫停车场</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8200</w:t>
            </w:r>
            <w:r>
              <w:rPr>
                <w:rFonts w:hint="eastAsia" w:ascii="Times New Roman" w:hAnsi="Times New Roman" w:eastAsia="华文宋体" w:cs="Times New Roman"/>
                <w:color w:val="000000"/>
                <w:kern w:val="0"/>
                <w:sz w:val="26"/>
                <w:szCs w:val="26"/>
                <w:lang w:val="en-US" w:eastAsia="zh-CN" w:bidi="ar"/>
              </w:rPr>
              <w:t>.0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2624</w:t>
            </w:r>
            <w:r>
              <w:rPr>
                <w:rFonts w:hint="eastAsia" w:ascii="Times New Roman" w:hAnsi="Times New Roman" w:eastAsia="华文宋体" w:cs="Times New Roman"/>
                <w:color w:val="000000"/>
                <w:kern w:val="0"/>
                <w:sz w:val="26"/>
                <w:szCs w:val="26"/>
                <w:lang w:val="en-US" w:eastAsia="zh-CN" w:bidi="ar"/>
              </w:rPr>
              <w:t>.0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32</w:t>
            </w:r>
            <w:r>
              <w:rPr>
                <w:rFonts w:hint="eastAsia" w:ascii="Times New Roman" w:hAnsi="Times New Roman" w:eastAsia="华文宋体" w:cs="Times New Roman"/>
                <w:color w:val="000000"/>
                <w:kern w:val="0"/>
                <w:sz w:val="26"/>
                <w:szCs w:val="26"/>
                <w:lang w:val="en-US" w:eastAsia="zh-CN" w:bidi="ar"/>
              </w:rPr>
              <w:t>.0</w:t>
            </w:r>
          </w:p>
        </w:tc>
      </w:tr>
      <w:tr>
        <w:tblPrEx>
          <w:tblLayout w:type="fixed"/>
          <w:tblCellMar>
            <w:top w:w="15" w:type="dxa"/>
            <w:left w:w="15" w:type="dxa"/>
            <w:bottom w:w="15" w:type="dxa"/>
            <w:right w:w="15" w:type="dxa"/>
          </w:tblCellMar>
        </w:tblPrEx>
        <w:trPr>
          <w:trHeight w:val="592"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二实小东西校区</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二实小西校区林荫停车场</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3740.9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1271.9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34</w:t>
            </w:r>
            <w:r>
              <w:rPr>
                <w:rFonts w:hint="eastAsia" w:ascii="Times New Roman" w:hAnsi="Times New Roman" w:eastAsia="华文宋体" w:cs="Times New Roman"/>
                <w:color w:val="000000"/>
                <w:kern w:val="0"/>
                <w:sz w:val="26"/>
                <w:szCs w:val="26"/>
                <w:lang w:val="en-US" w:eastAsia="zh-CN" w:bidi="ar"/>
              </w:rPr>
              <w:t>.0</w:t>
            </w:r>
          </w:p>
        </w:tc>
      </w:tr>
      <w:tr>
        <w:tblPrEx>
          <w:tblLayout w:type="fixed"/>
          <w:tblCellMar>
            <w:top w:w="15" w:type="dxa"/>
            <w:left w:w="15" w:type="dxa"/>
            <w:bottom w:w="15" w:type="dxa"/>
            <w:right w:w="15" w:type="dxa"/>
          </w:tblCellMar>
        </w:tblPrEx>
        <w:trPr>
          <w:trHeight w:val="592"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老法院对过</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杏花村小学南校区东门公共停车场</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1000</w:t>
            </w:r>
            <w:r>
              <w:rPr>
                <w:rFonts w:hint="eastAsia" w:ascii="Times New Roman" w:hAnsi="Times New Roman" w:eastAsia="华文宋体" w:cs="Times New Roman"/>
                <w:color w:val="000000"/>
                <w:kern w:val="0"/>
                <w:sz w:val="26"/>
                <w:szCs w:val="26"/>
                <w:lang w:val="en-US" w:eastAsia="zh-CN" w:bidi="ar"/>
              </w:rPr>
              <w:t>.0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310</w:t>
            </w:r>
            <w:r>
              <w:rPr>
                <w:rFonts w:hint="eastAsia" w:ascii="Times New Roman" w:hAnsi="Times New Roman" w:eastAsia="华文宋体" w:cs="Times New Roman"/>
                <w:color w:val="000000"/>
                <w:kern w:val="0"/>
                <w:sz w:val="26"/>
                <w:szCs w:val="26"/>
                <w:lang w:val="en-US" w:eastAsia="zh-CN" w:bidi="ar"/>
              </w:rPr>
              <w:t>.0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31</w:t>
            </w:r>
            <w:r>
              <w:rPr>
                <w:rFonts w:hint="eastAsia" w:ascii="Times New Roman" w:hAnsi="Times New Roman" w:eastAsia="华文宋体" w:cs="Times New Roman"/>
                <w:color w:val="000000"/>
                <w:kern w:val="0"/>
                <w:sz w:val="26"/>
                <w:szCs w:val="26"/>
                <w:lang w:val="en-US" w:eastAsia="zh-CN" w:bidi="ar"/>
              </w:rPr>
              <w:t>.0</w:t>
            </w:r>
          </w:p>
        </w:tc>
      </w:tr>
      <w:tr>
        <w:tblPrEx>
          <w:tblLayout w:type="fixed"/>
          <w:tblCellMar>
            <w:top w:w="15" w:type="dxa"/>
            <w:left w:w="15" w:type="dxa"/>
            <w:bottom w:w="15" w:type="dxa"/>
            <w:right w:w="15" w:type="dxa"/>
          </w:tblCellMar>
        </w:tblPrEx>
        <w:trPr>
          <w:trHeight w:val="592"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桥东二巷南侧</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南关绿荫停车场</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1200</w:t>
            </w:r>
            <w:r>
              <w:rPr>
                <w:rFonts w:hint="eastAsia" w:ascii="Times New Roman" w:hAnsi="Times New Roman" w:eastAsia="华文宋体" w:cs="Times New Roman"/>
                <w:color w:val="000000"/>
                <w:kern w:val="0"/>
                <w:sz w:val="26"/>
                <w:szCs w:val="26"/>
                <w:lang w:val="en-US" w:eastAsia="zh-CN" w:bidi="ar"/>
              </w:rPr>
              <w:t>.0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384</w:t>
            </w:r>
            <w:r>
              <w:rPr>
                <w:rFonts w:hint="eastAsia" w:ascii="Times New Roman" w:hAnsi="Times New Roman" w:eastAsia="华文宋体" w:cs="Times New Roman"/>
                <w:color w:val="000000"/>
                <w:kern w:val="0"/>
                <w:sz w:val="26"/>
                <w:szCs w:val="26"/>
                <w:lang w:val="en-US" w:eastAsia="zh-CN" w:bidi="ar"/>
              </w:rPr>
              <w:t>.0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32</w:t>
            </w:r>
            <w:r>
              <w:rPr>
                <w:rFonts w:hint="eastAsia" w:ascii="Times New Roman" w:hAnsi="Times New Roman" w:eastAsia="华文宋体" w:cs="Times New Roman"/>
                <w:color w:val="000000"/>
                <w:kern w:val="0"/>
                <w:sz w:val="26"/>
                <w:szCs w:val="26"/>
                <w:lang w:val="en-US" w:eastAsia="zh-CN" w:bidi="ar"/>
              </w:rPr>
              <w:t>.0</w:t>
            </w:r>
          </w:p>
        </w:tc>
      </w:tr>
      <w:tr>
        <w:tblPrEx>
          <w:tblLayout w:type="fixed"/>
          <w:tblCellMar>
            <w:top w:w="15" w:type="dxa"/>
            <w:left w:w="15" w:type="dxa"/>
            <w:bottom w:w="15" w:type="dxa"/>
            <w:right w:w="15" w:type="dxa"/>
          </w:tblCellMar>
        </w:tblPrEx>
        <w:trPr>
          <w:trHeight w:val="592"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玉泉小绿地</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雍景苑南门东侧林荫停车场</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1000</w:t>
            </w:r>
            <w:r>
              <w:rPr>
                <w:rFonts w:hint="eastAsia" w:ascii="Times New Roman" w:hAnsi="Times New Roman" w:eastAsia="华文宋体" w:cs="Times New Roman"/>
                <w:color w:val="000000"/>
                <w:kern w:val="0"/>
                <w:sz w:val="26"/>
                <w:szCs w:val="26"/>
                <w:lang w:val="en-US" w:eastAsia="zh-CN" w:bidi="ar"/>
              </w:rPr>
              <w:t>.0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310</w:t>
            </w:r>
            <w:r>
              <w:rPr>
                <w:rFonts w:hint="eastAsia" w:ascii="Times New Roman" w:hAnsi="Times New Roman" w:eastAsia="华文宋体" w:cs="Times New Roman"/>
                <w:color w:val="000000"/>
                <w:kern w:val="0"/>
                <w:sz w:val="26"/>
                <w:szCs w:val="26"/>
                <w:lang w:val="en-US" w:eastAsia="zh-CN" w:bidi="ar"/>
              </w:rPr>
              <w:t>.0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31</w:t>
            </w:r>
            <w:r>
              <w:rPr>
                <w:rFonts w:hint="eastAsia" w:ascii="Times New Roman" w:hAnsi="Times New Roman" w:eastAsia="华文宋体" w:cs="Times New Roman"/>
                <w:color w:val="000000"/>
                <w:kern w:val="0"/>
                <w:sz w:val="26"/>
                <w:szCs w:val="26"/>
                <w:lang w:val="en-US" w:eastAsia="zh-CN" w:bidi="ar"/>
              </w:rPr>
              <w:t>.0</w:t>
            </w:r>
          </w:p>
        </w:tc>
      </w:tr>
      <w:tr>
        <w:tblPrEx>
          <w:tblLayout w:type="fixed"/>
          <w:tblCellMar>
            <w:top w:w="15" w:type="dxa"/>
            <w:left w:w="15" w:type="dxa"/>
            <w:bottom w:w="15" w:type="dxa"/>
            <w:right w:w="15" w:type="dxa"/>
          </w:tblCellMar>
        </w:tblPrEx>
        <w:trPr>
          <w:trHeight w:val="592"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7</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昌平山路北首</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昌平山路林荫停车场</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2350</w:t>
            </w:r>
            <w:r>
              <w:rPr>
                <w:rFonts w:hint="eastAsia" w:ascii="Times New Roman" w:hAnsi="Times New Roman" w:eastAsia="华文宋体" w:cs="Times New Roman"/>
                <w:color w:val="000000"/>
                <w:kern w:val="0"/>
                <w:sz w:val="26"/>
                <w:szCs w:val="26"/>
                <w:lang w:val="en-US" w:eastAsia="zh-CN" w:bidi="ar"/>
              </w:rPr>
              <w:t>.0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华文宋体" w:cs="Times New Roman"/>
                <w:color w:val="000000"/>
                <w:sz w:val="26"/>
                <w:szCs w:val="26"/>
                <w:lang w:val="en-US" w:eastAsia="zh-CN"/>
              </w:rPr>
            </w:pPr>
            <w:r>
              <w:rPr>
                <w:rFonts w:ascii="Times New Roman" w:hAnsi="Times New Roman" w:eastAsia="华文宋体" w:cs="Times New Roman"/>
                <w:color w:val="000000"/>
                <w:kern w:val="0"/>
                <w:sz w:val="26"/>
                <w:szCs w:val="26"/>
                <w:lang w:bidi="ar"/>
              </w:rPr>
              <w:t>852</w:t>
            </w:r>
            <w:r>
              <w:rPr>
                <w:rFonts w:hint="eastAsia" w:ascii="Times New Roman" w:hAnsi="Times New Roman" w:eastAsia="华文宋体" w:cs="Times New Roman"/>
                <w:color w:val="000000"/>
                <w:kern w:val="0"/>
                <w:sz w:val="26"/>
                <w:szCs w:val="26"/>
                <w:lang w:val="en-US" w:eastAsia="zh-CN" w:bidi="ar"/>
              </w:rPr>
              <w:t>.0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36.26</w:t>
            </w:r>
          </w:p>
        </w:tc>
      </w:tr>
      <w:tr>
        <w:tblPrEx>
          <w:tblLayout w:type="fixed"/>
          <w:tblCellMar>
            <w:top w:w="15" w:type="dxa"/>
            <w:left w:w="15" w:type="dxa"/>
            <w:bottom w:w="15" w:type="dxa"/>
            <w:right w:w="15" w:type="dxa"/>
          </w:tblCellMar>
        </w:tblPrEx>
        <w:trPr>
          <w:trHeight w:val="601" w:hRule="atLeast"/>
        </w:trPr>
        <w:tc>
          <w:tcPr>
            <w:tcW w:w="53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合计</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18490.9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6081.9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000000"/>
                <w:sz w:val="26"/>
                <w:szCs w:val="26"/>
              </w:rPr>
            </w:pPr>
            <w:r>
              <w:rPr>
                <w:rFonts w:ascii="Times New Roman" w:hAnsi="Times New Roman" w:eastAsia="华文宋体" w:cs="Times New Roman"/>
                <w:color w:val="000000"/>
                <w:kern w:val="0"/>
                <w:sz w:val="26"/>
                <w:szCs w:val="26"/>
                <w:lang w:bidi="ar"/>
              </w:rPr>
              <w:t xml:space="preserve">32.89 </w:t>
            </w:r>
          </w:p>
        </w:tc>
      </w:tr>
    </w:tbl>
    <w:p>
      <w:pPr>
        <w:pStyle w:val="5"/>
      </w:pPr>
      <w:r>
        <w:rPr>
          <w:rFonts w:hint="eastAsia"/>
        </w:rPr>
        <w:t xml:space="preserve">1.7.4 </w:t>
      </w:r>
      <w:r>
        <w:t>支撑材料</w:t>
      </w:r>
    </w:p>
    <w:p>
      <w:pPr>
        <w:numPr>
          <w:ilvl w:val="0"/>
          <w:numId w:val="8"/>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numPr>
          <w:ilvl w:val="0"/>
          <w:numId w:val="8"/>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2016-2018年邹城市城区新建停车场乔木树冠覆盖率调查表</w:t>
      </w:r>
    </w:p>
    <w:p>
      <w:pPr>
        <w:numPr>
          <w:ilvl w:val="0"/>
          <w:numId w:val="8"/>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邹城市城区绿化树种抽样调查统计表</w:t>
      </w:r>
    </w:p>
    <w:p>
      <w:pPr>
        <w:numPr>
          <w:ilvl w:val="0"/>
          <w:numId w:val="8"/>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邹城市城区绿化乡土树种使用统计表</w:t>
      </w:r>
    </w:p>
    <w:p>
      <w:pPr>
        <w:numPr>
          <w:ilvl w:val="0"/>
          <w:numId w:val="8"/>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邹城市二实小（接驾山路南延东侧）南林荫停车场建设工程合同文件</w:t>
      </w:r>
    </w:p>
    <w:p>
      <w:pPr>
        <w:numPr>
          <w:ilvl w:val="0"/>
          <w:numId w:val="8"/>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邹城市昌平山路林荫停车场建设工程合同文件</w:t>
      </w:r>
    </w:p>
    <w:p>
      <w:pPr>
        <w:numPr>
          <w:ilvl w:val="0"/>
          <w:numId w:val="8"/>
        </w:numPr>
        <w:tabs>
          <w:tab w:val="left" w:pos="2511"/>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11" w:name="_Toc519373544"/>
      <w:r>
        <w:rPr>
          <w:rFonts w:hint="eastAsia"/>
        </w:rPr>
        <w:t xml:space="preserve">1.8 </w:t>
      </w:r>
      <w:r>
        <w:rPr>
          <w:color w:val="FF0000"/>
        </w:rPr>
        <w:t>城</w:t>
      </w:r>
      <w:r>
        <w:rPr>
          <w:rFonts w:hint="eastAsia"/>
          <w:color w:val="FF0000"/>
          <w:lang w:val="en-US" w:eastAsia="zh-CN"/>
        </w:rPr>
        <w:t>市</w:t>
      </w:r>
      <w:r>
        <w:t>重要水源地绿化</w:t>
      </w:r>
      <w:bookmarkEnd w:id="11"/>
    </w:p>
    <w:p>
      <w:pPr>
        <w:pStyle w:val="5"/>
      </w:pPr>
      <w:r>
        <w:rPr>
          <w:rFonts w:hint="eastAsia"/>
        </w:rPr>
        <w:t xml:space="preserve">1.8.1 </w:t>
      </w:r>
      <w:r>
        <w:t>指标要求</w:t>
      </w:r>
    </w:p>
    <w:p>
      <w:p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城市重要水源地森林植被保护完好，功能完善，森林覆盖率达到70％以上，水质净化和水源涵养作用得到有效发挥。</w:t>
      </w:r>
    </w:p>
    <w:p>
      <w:pPr>
        <w:pStyle w:val="5"/>
      </w:pPr>
      <w:r>
        <w:rPr>
          <w:rFonts w:hint="eastAsia"/>
        </w:rPr>
        <w:t xml:space="preserve">1.8.2 </w:t>
      </w:r>
      <w:r>
        <w:t>方法步骤</w:t>
      </w:r>
    </w:p>
    <w:p>
      <w:pPr>
        <w:spacing w:line="360" w:lineRule="auto"/>
        <w:ind w:firstLine="560" w:firstLineChars="200"/>
        <w:jc w:val="left"/>
        <w:rPr>
          <w:rFonts w:ascii="Times New Roman" w:hAnsi="Times New Roman" w:eastAsia="华文宋体" w:cs="Times New Roman"/>
          <w:sz w:val="28"/>
        </w:rPr>
      </w:pPr>
      <w:r>
        <w:rPr>
          <w:rFonts w:ascii="Times New Roman" w:hAnsi="Times New Roman" w:eastAsia="华文宋体" w:cs="Times New Roman"/>
          <w:sz w:val="28"/>
        </w:rPr>
        <w:t>在邹城市林业局工作人员的陪同下开展对城市重要水源地覆盖</w:t>
      </w:r>
    </w:p>
    <w:p>
      <w:pPr>
        <w:spacing w:line="360" w:lineRule="auto"/>
        <w:jc w:val="left"/>
        <w:rPr>
          <w:rFonts w:ascii="Times New Roman" w:hAnsi="Times New Roman" w:eastAsia="华文宋体" w:cs="Times New Roman"/>
          <w:sz w:val="28"/>
        </w:rPr>
      </w:pPr>
      <w:r>
        <w:rPr>
          <w:rFonts w:ascii="Times New Roman" w:hAnsi="Times New Roman" w:eastAsia="华文宋体" w:cs="Times New Roman"/>
          <w:sz w:val="28"/>
        </w:rPr>
        <w:t>率的调查，根据水利、林业部门统计数据结合实地抽样调查结果，计</w:t>
      </w:r>
    </w:p>
    <w:p>
      <w:pPr>
        <w:tabs>
          <w:tab w:val="left" w:pos="2511"/>
        </w:tabs>
        <w:spacing w:line="360" w:lineRule="auto"/>
        <w:rPr>
          <w:rFonts w:ascii="Times New Roman" w:hAnsi="Times New Roman" w:eastAsia="华文宋体" w:cs="Times New Roman"/>
          <w:sz w:val="28"/>
        </w:rPr>
      </w:pPr>
      <w:r>
        <w:rPr>
          <w:rFonts w:ascii="Times New Roman" w:hAnsi="Times New Roman" w:eastAsia="华文宋体" w:cs="Times New Roman"/>
          <w:sz w:val="28"/>
        </w:rPr>
        <w:t>算城市重要水源地覆盖率。</w:t>
      </w:r>
    </w:p>
    <w:p>
      <w:pPr>
        <w:pStyle w:val="5"/>
      </w:pPr>
      <w:r>
        <w:rPr>
          <w:rFonts w:hint="eastAsia"/>
        </w:rPr>
        <w:t xml:space="preserve">1.8.3 </w:t>
      </w:r>
      <w:r>
        <w:t>自查结果</w:t>
      </w:r>
    </w:p>
    <w:p>
      <w:p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达标。自创建国家森林城市以来，邹城市主要以西苇水库、莫亭水库为主进行水库周边绿化，同时对重要水源地进行了植被保护，使得植被保护完好，功能完善，充分发挥水源涵养、保持水土、改善水质等作用。</w:t>
      </w:r>
      <w:r>
        <w:rPr>
          <w:rFonts w:ascii="Times New Roman" w:hAnsi="Times New Roman" w:eastAsia="华文宋体" w:cs="Times New Roman"/>
          <w:color w:val="FF0000"/>
          <w:sz w:val="28"/>
          <w:szCs w:val="28"/>
        </w:rPr>
        <w:t>截</w:t>
      </w:r>
      <w:r>
        <w:rPr>
          <w:rFonts w:hint="eastAsia" w:ascii="Times New Roman" w:hAnsi="Times New Roman" w:eastAsia="华文宋体" w:cs="Times New Roman"/>
          <w:color w:val="FF0000"/>
          <w:sz w:val="28"/>
          <w:szCs w:val="28"/>
          <w:lang w:val="en-US" w:eastAsia="zh-CN"/>
        </w:rPr>
        <w:t>至</w:t>
      </w:r>
      <w:r>
        <w:rPr>
          <w:rFonts w:ascii="Times New Roman" w:hAnsi="Times New Roman" w:eastAsia="华文宋体" w:cs="Times New Roman"/>
          <w:sz w:val="28"/>
          <w:szCs w:val="28"/>
        </w:rPr>
        <w:t>2017年底</w:t>
      </w:r>
      <w:r>
        <w:rPr>
          <w:rFonts w:hint="eastAsia" w:ascii="Times New Roman" w:hAnsi="Times New Roman" w:eastAsia="华文宋体" w:cs="Times New Roman"/>
          <w:color w:val="FF0000"/>
          <w:sz w:val="28"/>
          <w:szCs w:val="28"/>
          <w:lang w:eastAsia="zh-CN"/>
        </w:rPr>
        <w:t>，</w:t>
      </w:r>
      <w:r>
        <w:rPr>
          <w:rFonts w:ascii="Times New Roman" w:hAnsi="Times New Roman" w:eastAsia="华文宋体" w:cs="Times New Roman"/>
          <w:sz w:val="28"/>
          <w:szCs w:val="28"/>
        </w:rPr>
        <w:t>邹城市建有城市重要水源地15处，水源地宜绿化面积为</w:t>
      </w:r>
      <w:r>
        <w:rPr>
          <w:rFonts w:ascii="Times New Roman" w:hAnsi="Times New Roman" w:eastAsia="华文宋体" w:cs="Times New Roman"/>
          <w:bCs/>
          <w:kern w:val="0"/>
          <w:sz w:val="28"/>
          <w:szCs w:val="28"/>
          <w:lang w:bidi="ar"/>
        </w:rPr>
        <w:t>15648.8</w:t>
      </w:r>
      <w:r>
        <w:rPr>
          <w:rFonts w:ascii="Times New Roman" w:hAnsi="Times New Roman" w:eastAsia="华文宋体" w:cs="Times New Roman"/>
          <w:sz w:val="28"/>
          <w:szCs w:val="28"/>
        </w:rPr>
        <w:t>公顷，已绿化面积为</w:t>
      </w:r>
      <w:r>
        <w:rPr>
          <w:rFonts w:ascii="Times New Roman" w:hAnsi="Times New Roman" w:eastAsia="华文宋体" w:cs="Times New Roman"/>
          <w:bCs/>
          <w:kern w:val="0"/>
          <w:sz w:val="28"/>
          <w:szCs w:val="28"/>
          <w:lang w:bidi="ar"/>
        </w:rPr>
        <w:t>12634.1</w:t>
      </w:r>
      <w:r>
        <w:rPr>
          <w:rFonts w:ascii="Times New Roman" w:hAnsi="Times New Roman" w:eastAsia="华文宋体" w:cs="Times New Roman"/>
          <w:sz w:val="28"/>
          <w:szCs w:val="28"/>
        </w:rPr>
        <w:t>公顷，水源地森林覆盖率达到80.74%，达到“城市重要水源地森林植被保护完好，功能完善，森林覆盖率达到70%以上，水质净化和水源涵养作用得到有效发挥”的要求。</w:t>
      </w:r>
    </w:p>
    <w:p>
      <w:pPr>
        <w:ind w:firstLine="560" w:firstLineChars="200"/>
        <w:rPr>
          <w:rFonts w:hint="eastAsia" w:ascii="Times New Roman" w:hAnsi="Times New Roman" w:eastAsia="华文宋体" w:cs="Times New Roman"/>
          <w:sz w:val="28"/>
          <w:szCs w:val="28"/>
        </w:rPr>
      </w:pPr>
    </w:p>
    <w:p>
      <w:pPr>
        <w:ind w:firstLine="480" w:firstLineChars="200"/>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表</w:t>
      </w:r>
      <w:r>
        <w:rPr>
          <w:rFonts w:hint="eastAsia" w:ascii="Times New Roman" w:hAnsi="Times New Roman" w:eastAsia="华文宋体" w:cs="Times New Roman"/>
          <w:sz w:val="24"/>
          <w:szCs w:val="24"/>
        </w:rPr>
        <w:t>1.</w:t>
      </w:r>
      <w:r>
        <w:rPr>
          <w:rFonts w:ascii="Times New Roman" w:hAnsi="Times New Roman" w:eastAsia="华文宋体" w:cs="Times New Roman"/>
          <w:sz w:val="24"/>
          <w:szCs w:val="24"/>
        </w:rPr>
        <w:t>8-1  2017年邹城市重要水源地绿化及水质情况一览表</w:t>
      </w:r>
    </w:p>
    <w:p>
      <w:pPr>
        <w:ind w:firstLine="480" w:firstLineChars="200"/>
        <w:jc w:val="right"/>
        <w:rPr>
          <w:rFonts w:ascii="Times New Roman" w:hAnsi="Times New Roman" w:eastAsia="华文宋体" w:cs="Times New Roman"/>
          <w:sz w:val="24"/>
          <w:szCs w:val="24"/>
        </w:rPr>
      </w:pPr>
      <w:r>
        <w:rPr>
          <w:rFonts w:ascii="Times New Roman" w:hAnsi="Times New Roman" w:eastAsia="华文宋体" w:cs="Times New Roman"/>
          <w:sz w:val="24"/>
          <w:szCs w:val="24"/>
        </w:rPr>
        <w:t>单位：公顷、万立方米、%</w:t>
      </w:r>
    </w:p>
    <w:tbl>
      <w:tblPr>
        <w:tblStyle w:val="15"/>
        <w:tblpPr w:leftFromText="180" w:rightFromText="180" w:vertAnchor="text" w:horzAnchor="page" w:tblpXSpec="center" w:tblpY="478"/>
        <w:tblOverlap w:val="never"/>
        <w:tblW w:w="8201" w:type="dxa"/>
        <w:jc w:val="center"/>
        <w:tblInd w:w="0" w:type="dxa"/>
        <w:tblLayout w:type="fixed"/>
        <w:tblCellMar>
          <w:top w:w="15" w:type="dxa"/>
          <w:left w:w="15" w:type="dxa"/>
          <w:bottom w:w="15" w:type="dxa"/>
          <w:right w:w="15" w:type="dxa"/>
        </w:tblCellMar>
      </w:tblPr>
      <w:tblGrid>
        <w:gridCol w:w="1352"/>
        <w:gridCol w:w="1051"/>
        <w:gridCol w:w="886"/>
        <w:gridCol w:w="1337"/>
        <w:gridCol w:w="1486"/>
        <w:gridCol w:w="1009"/>
        <w:gridCol w:w="1080"/>
      </w:tblGrid>
      <w:tr>
        <w:tblPrEx>
          <w:tblLayout w:type="fixed"/>
          <w:tblCellMar>
            <w:top w:w="15" w:type="dxa"/>
            <w:left w:w="15" w:type="dxa"/>
            <w:bottom w:w="15" w:type="dxa"/>
            <w:right w:w="15" w:type="dxa"/>
          </w:tblCellMar>
        </w:tblPrEx>
        <w:trPr>
          <w:trHeight w:val="1276" w:hRule="atLeast"/>
          <w:tblHeader/>
          <w:jc w:val="center"/>
        </w:trPr>
        <w:tc>
          <w:tcPr>
            <w:tcW w:w="135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水库名称</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位置</w:t>
            </w:r>
          </w:p>
        </w:tc>
        <w:tc>
          <w:tcPr>
            <w:tcW w:w="886"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总库容</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宜绿化面积</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已绿化面积</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绿化率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水质情况</w:t>
            </w:r>
          </w:p>
        </w:tc>
      </w:tr>
      <w:tr>
        <w:tblPrEx>
          <w:tblLayout w:type="fixed"/>
          <w:tblCellMar>
            <w:top w:w="15" w:type="dxa"/>
            <w:left w:w="15" w:type="dxa"/>
            <w:bottom w:w="15" w:type="dxa"/>
            <w:right w:w="15" w:type="dxa"/>
          </w:tblCellMar>
        </w:tblPrEx>
        <w:trPr>
          <w:trHeight w:val="695" w:hRule="atLeast"/>
          <w:jc w:val="center"/>
        </w:trPr>
        <w:tc>
          <w:tcPr>
            <w:tcW w:w="2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 xml:space="preserve"> 合计</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14400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15648.8</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华文宋体" w:cs="Times New Roman"/>
                <w:bCs/>
                <w:color w:val="FF0000"/>
                <w:kern w:val="0"/>
                <w:sz w:val="24"/>
              </w:rPr>
              <w:t xml:space="preserve">12634.1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 xml:space="preserve">80.74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华文宋体" w:cs="Times New Roman"/>
                <w:b/>
                <w:color w:val="FF0000"/>
                <w:sz w:val="24"/>
              </w:rPr>
            </w:pPr>
            <w:r>
              <w:rPr>
                <w:rFonts w:ascii="Times New Roman" w:hAnsi="Times New Roman" w:eastAsia="华文宋体" w:cs="Times New Roman"/>
                <w:b/>
                <w:color w:val="FF0000"/>
                <w:sz w:val="24"/>
              </w:rPr>
              <w:t>-</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西苇水库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千泉街道</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10200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8343.6</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6683.6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80.10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
                <w:color w:val="FF0000"/>
                <w:sz w:val="24"/>
              </w:rPr>
            </w:pPr>
            <w:r>
              <w:rPr>
                <w:rFonts w:ascii="Times New Roman" w:hAnsi="Times New Roman" w:eastAsia="宋体" w:cs="Times New Roman"/>
                <w:b w:val="0"/>
                <w:bCs/>
                <w:color w:val="FF0000"/>
                <w:kern w:val="0"/>
                <w:sz w:val="24"/>
              </w:rPr>
              <w:t>Ⅱ</w:t>
            </w:r>
          </w:p>
        </w:tc>
      </w:tr>
      <w:tr>
        <w:tblPrEx>
          <w:tblLayout w:type="fixed"/>
          <w:tblCellMar>
            <w:top w:w="15" w:type="dxa"/>
            <w:left w:w="15" w:type="dxa"/>
            <w:bottom w:w="15" w:type="dxa"/>
            <w:right w:w="15" w:type="dxa"/>
          </w:tblCellMar>
        </w:tblPrEx>
        <w:trPr>
          <w:trHeight w:val="1276"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九里涧水库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千泉街道</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194</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326</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262.0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80.37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康王水库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城前镇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172</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224</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187.2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83.57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圈里水库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城前镇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170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244</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196.6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80.57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洼陡水库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城前镇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308</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757.6</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614.0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81.05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三河村水库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大束镇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221</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224</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186.4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83.21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独山水库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郭里镇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255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601.6</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497.9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82.76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李白水库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看庄镇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308</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184</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152.0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82.61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八里碑水库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田黄镇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424</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1117.6</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906.4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81.10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大河滩水库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香城镇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190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328</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271.6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82.80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宋体" w:cs="Times New Roman"/>
                <w:bCs/>
                <w:color w:val="FF0000"/>
                <w:kern w:val="0"/>
                <w:sz w:val="24"/>
              </w:rPr>
              <w:t>Ⅱ</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莫亭水库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香城镇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864</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1336</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1128.8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84.49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bCs/>
                <w:color w:val="FF0000"/>
                <w:sz w:val="24"/>
              </w:rPr>
            </w:pPr>
            <w:r>
              <w:rPr>
                <w:rFonts w:ascii="Times New Roman" w:hAnsi="Times New Roman" w:eastAsia="宋体" w:cs="Times New Roman"/>
                <w:bCs/>
                <w:color w:val="FF0000"/>
                <w:kern w:val="0"/>
                <w:sz w:val="24"/>
              </w:rPr>
              <w:t>Ⅱ</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八一水库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张庄镇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418</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453.6</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344.8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76.01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大律水库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张庄镇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168</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626.4</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502.0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80.14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695"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七一水库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张庄镇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300</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264</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215.6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81.67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r>
        <w:tblPrEx>
          <w:tblLayout w:type="fixed"/>
          <w:tblCellMar>
            <w:top w:w="15" w:type="dxa"/>
            <w:left w:w="15" w:type="dxa"/>
            <w:bottom w:w="15" w:type="dxa"/>
            <w:right w:w="15" w:type="dxa"/>
          </w:tblCellMar>
        </w:tblPrEx>
        <w:trPr>
          <w:trHeight w:val="714" w:hRule="atLeast"/>
          <w:jc w:val="center"/>
        </w:trPr>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枣沟水库</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华文宋体" w:cs="Times New Roman"/>
                <w:color w:val="FF0000"/>
                <w:kern w:val="0"/>
                <w:sz w:val="24"/>
              </w:rPr>
              <w:t>张庄镇</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208</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618.4</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485.2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 xml:space="preserve">78.46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华文宋体" w:cs="Times New Roman"/>
                <w:color w:val="FF0000"/>
                <w:sz w:val="24"/>
              </w:rPr>
            </w:pPr>
            <w:r>
              <w:rPr>
                <w:rFonts w:ascii="Times New Roman" w:hAnsi="Times New Roman" w:eastAsia="仿宋_GB2312" w:cs="Times New Roman"/>
                <w:color w:val="FF0000"/>
                <w:kern w:val="0"/>
                <w:sz w:val="24"/>
              </w:rPr>
              <w:t>Ⅲ</w:t>
            </w:r>
          </w:p>
        </w:tc>
      </w:tr>
    </w:tbl>
    <w:p>
      <w:pPr>
        <w:rPr>
          <w:rFonts w:ascii="Times New Roman" w:hAnsi="Times New Roman" w:eastAsia="华文宋体" w:cs="Times New Roman"/>
        </w:rPr>
      </w:pPr>
    </w:p>
    <w:p>
      <w:pPr>
        <w:pStyle w:val="5"/>
      </w:pPr>
      <w:r>
        <w:rPr>
          <w:rFonts w:hint="eastAsia"/>
        </w:rPr>
        <w:t xml:space="preserve">1.8.4 </w:t>
      </w:r>
      <w:r>
        <w:t>支撑材料</w:t>
      </w:r>
    </w:p>
    <w:p>
      <w:pPr>
        <w:numPr>
          <w:ilvl w:val="0"/>
          <w:numId w:val="9"/>
        </w:numPr>
        <w:tabs>
          <w:tab w:val="left" w:pos="2511"/>
        </w:tabs>
        <w:spacing w:line="360" w:lineRule="auto"/>
        <w:ind w:firstLine="560" w:firstLineChars="200"/>
        <w:rPr>
          <w:rFonts w:ascii="Times New Roman" w:hAnsi="Times New Roman" w:eastAsia="华文宋体" w:cs="Times New Roman"/>
          <w:kern w:val="0"/>
          <w:sz w:val="28"/>
          <w:szCs w:val="28"/>
          <w:lang w:bidi="ar"/>
        </w:rPr>
      </w:pPr>
      <w:r>
        <w:rPr>
          <w:rFonts w:ascii="Times New Roman" w:hAnsi="Times New Roman" w:eastAsia="华文宋体" w:cs="Times New Roman"/>
          <w:sz w:val="28"/>
          <w:szCs w:val="28"/>
        </w:rPr>
        <w:t>山东省邹城市创建国家森林城市绿化成果专项调查报告</w:t>
      </w:r>
    </w:p>
    <w:p>
      <w:pPr>
        <w:numPr>
          <w:ilvl w:val="0"/>
          <w:numId w:val="9"/>
        </w:numPr>
        <w:tabs>
          <w:tab w:val="left" w:pos="2511"/>
        </w:tabs>
        <w:spacing w:line="360" w:lineRule="auto"/>
        <w:ind w:firstLine="560" w:firstLineChars="200"/>
        <w:rPr>
          <w:rFonts w:ascii="Times New Roman" w:hAnsi="Times New Roman" w:eastAsia="华文宋体" w:cs="Times New Roman"/>
          <w:kern w:val="0"/>
          <w:sz w:val="28"/>
          <w:szCs w:val="28"/>
          <w:lang w:bidi="ar"/>
        </w:rPr>
      </w:pPr>
      <w:r>
        <w:rPr>
          <w:rFonts w:ascii="Times New Roman" w:hAnsi="Times New Roman" w:eastAsia="华文宋体" w:cs="Times New Roman"/>
          <w:sz w:val="28"/>
          <w:szCs w:val="28"/>
        </w:rPr>
        <w:t>邹城市城市重要水源地名录</w:t>
      </w:r>
    </w:p>
    <w:p>
      <w:pPr>
        <w:numPr>
          <w:ilvl w:val="0"/>
          <w:numId w:val="9"/>
        </w:numPr>
        <w:tabs>
          <w:tab w:val="left" w:pos="2511"/>
        </w:tabs>
        <w:spacing w:line="360" w:lineRule="auto"/>
        <w:ind w:firstLine="560" w:firstLineChars="200"/>
        <w:rPr>
          <w:rFonts w:ascii="Times New Roman" w:hAnsi="Times New Roman" w:eastAsia="华文宋体" w:cs="Times New Roman"/>
          <w:kern w:val="0"/>
          <w:sz w:val="28"/>
          <w:szCs w:val="28"/>
          <w:lang w:bidi="ar"/>
        </w:rPr>
      </w:pPr>
      <w:r>
        <w:rPr>
          <w:rFonts w:ascii="Times New Roman" w:hAnsi="Times New Roman" w:eastAsia="华文宋体" w:cs="Times New Roman"/>
          <w:kern w:val="0"/>
          <w:sz w:val="28"/>
          <w:szCs w:val="28"/>
          <w:lang w:bidi="ar"/>
        </w:rPr>
        <w:t>邹城市水利局关于重要水源地绿化情况的报告、重要水源地绿化及水质情况一览表</w:t>
      </w:r>
    </w:p>
    <w:p>
      <w:pPr>
        <w:numPr>
          <w:ilvl w:val="0"/>
          <w:numId w:val="9"/>
        </w:numPr>
        <w:tabs>
          <w:tab w:val="left" w:pos="2511"/>
        </w:tabs>
        <w:spacing w:line="360" w:lineRule="auto"/>
        <w:ind w:firstLine="560" w:firstLineChars="200"/>
        <w:rPr>
          <w:rFonts w:ascii="Times New Roman" w:hAnsi="Times New Roman" w:eastAsia="华文宋体" w:cs="Times New Roman"/>
          <w:kern w:val="0"/>
          <w:sz w:val="28"/>
          <w:szCs w:val="28"/>
        </w:rPr>
      </w:pPr>
      <w:r>
        <w:rPr>
          <w:rFonts w:ascii="Times New Roman" w:hAnsi="Times New Roman" w:eastAsia="华文宋体" w:cs="Times New Roman"/>
          <w:kern w:val="0"/>
          <w:sz w:val="28"/>
          <w:szCs w:val="28"/>
        </w:rPr>
        <w:t>邹城市水系绿化提升一期工程完成情况统计表</w:t>
      </w:r>
    </w:p>
    <w:p>
      <w:pPr>
        <w:numPr>
          <w:ilvl w:val="0"/>
          <w:numId w:val="9"/>
        </w:numPr>
        <w:tabs>
          <w:tab w:val="left" w:pos="2511"/>
        </w:tabs>
        <w:spacing w:line="360" w:lineRule="auto"/>
        <w:ind w:firstLine="560" w:firstLineChars="200"/>
        <w:rPr>
          <w:rFonts w:ascii="Times New Roman" w:hAnsi="Times New Roman" w:eastAsia="华文宋体" w:cs="Times New Roman"/>
          <w:kern w:val="0"/>
          <w:sz w:val="28"/>
          <w:szCs w:val="28"/>
        </w:rPr>
      </w:pPr>
      <w:r>
        <w:rPr>
          <w:rFonts w:ascii="Times New Roman" w:hAnsi="Times New Roman" w:eastAsia="华文宋体" w:cs="Times New Roman"/>
          <w:kern w:val="0"/>
          <w:sz w:val="28"/>
          <w:szCs w:val="28"/>
        </w:rPr>
        <w:t>邹城市水功能区及水环境水质监测状况通报（2017年第三期）</w:t>
      </w:r>
    </w:p>
    <w:p>
      <w:pPr>
        <w:numPr>
          <w:ilvl w:val="0"/>
          <w:numId w:val="9"/>
        </w:numPr>
        <w:tabs>
          <w:tab w:val="left" w:pos="2511"/>
        </w:tabs>
        <w:spacing w:line="360" w:lineRule="auto"/>
        <w:ind w:firstLine="560" w:firstLineChars="200"/>
        <w:rPr>
          <w:rFonts w:ascii="Times New Roman" w:hAnsi="Times New Roman" w:eastAsia="华文宋体" w:cs="Times New Roman"/>
          <w:kern w:val="0"/>
          <w:sz w:val="28"/>
          <w:szCs w:val="28"/>
          <w:lang w:bidi="ar"/>
        </w:rPr>
      </w:pPr>
      <w:r>
        <w:rPr>
          <w:rFonts w:ascii="Times New Roman" w:hAnsi="Times New Roman" w:eastAsia="华文宋体" w:cs="Times New Roman"/>
          <w:kern w:val="0"/>
          <w:sz w:val="28"/>
          <w:szCs w:val="28"/>
        </w:rPr>
        <w:t>山东省人民政府办公厅关于贯彻国办发[2015]75号文件推进海绵城市建设的实施意见（鲁政办发</w:t>
      </w:r>
      <w:r>
        <w:rPr>
          <w:rFonts w:hint="eastAsia" w:ascii="Times New Roman" w:hAnsi="Times New Roman" w:eastAsia="华文宋体" w:cs="Times New Roman"/>
          <w:kern w:val="0"/>
          <w:sz w:val="28"/>
          <w:szCs w:val="28"/>
          <w:lang w:eastAsia="zh-CN"/>
        </w:rPr>
        <w:t>﹝2016﹞</w:t>
      </w:r>
      <w:r>
        <w:rPr>
          <w:rFonts w:ascii="Times New Roman" w:hAnsi="Times New Roman" w:eastAsia="华文宋体" w:cs="Times New Roman"/>
          <w:kern w:val="0"/>
          <w:sz w:val="28"/>
          <w:szCs w:val="28"/>
        </w:rPr>
        <w:t>5号）</w:t>
      </w:r>
    </w:p>
    <w:p>
      <w:pPr>
        <w:numPr>
          <w:ilvl w:val="0"/>
          <w:numId w:val="9"/>
        </w:numPr>
        <w:tabs>
          <w:tab w:val="left" w:pos="2511"/>
        </w:tabs>
        <w:spacing w:line="360" w:lineRule="auto"/>
        <w:ind w:firstLine="560" w:firstLineChars="200"/>
        <w:rPr>
          <w:rFonts w:ascii="Times New Roman" w:hAnsi="Times New Roman" w:eastAsia="华文宋体" w:cs="Times New Roman"/>
          <w:kern w:val="0"/>
          <w:sz w:val="28"/>
          <w:szCs w:val="28"/>
          <w:lang w:bidi="ar"/>
        </w:rPr>
      </w:pPr>
      <w:r>
        <w:rPr>
          <w:rFonts w:ascii="Times New Roman" w:hAnsi="Times New Roman" w:eastAsia="华文宋体" w:cs="Times New Roman"/>
          <w:kern w:val="0"/>
          <w:sz w:val="28"/>
          <w:szCs w:val="28"/>
          <w:lang w:bidi="ar"/>
        </w:rPr>
        <w:t>照片</w:t>
      </w:r>
    </w:p>
    <w:p>
      <w:pPr>
        <w:pStyle w:val="4"/>
      </w:pPr>
      <w:bookmarkStart w:id="12" w:name="_Toc519373545"/>
      <w:r>
        <w:rPr>
          <w:rFonts w:hint="eastAsia"/>
        </w:rPr>
        <w:t xml:space="preserve">1.9 </w:t>
      </w:r>
      <w:r>
        <w:t>休闲游憩绿地建设</w:t>
      </w:r>
      <w:bookmarkEnd w:id="12"/>
    </w:p>
    <w:p>
      <w:pPr>
        <w:pStyle w:val="5"/>
      </w:pPr>
      <w:r>
        <w:rPr>
          <w:rFonts w:hint="eastAsia"/>
        </w:rPr>
        <w:t xml:space="preserve">1.9.1 </w:t>
      </w:r>
      <w:r>
        <w:t>指标要求</w:t>
      </w:r>
    </w:p>
    <w:p>
      <w:p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城区建有多处以各类公园为主的休闲绿地，分布均匀，使市民出门500米有休闲绿地，基本满足本市居民日常游憩需求；郊区建有森林公园、湿地公园和其它面积20公顷以上的郊野公园等大型生态旅游休闲场所5处以上。</w:t>
      </w:r>
    </w:p>
    <w:p>
      <w:pPr>
        <w:pStyle w:val="5"/>
      </w:pPr>
      <w:r>
        <w:rPr>
          <w:rFonts w:hint="eastAsia"/>
        </w:rPr>
        <w:t xml:space="preserve">1.9.2 </w:t>
      </w:r>
      <w:r>
        <w:t>方法步骤</w:t>
      </w:r>
    </w:p>
    <w:p>
      <w:pPr>
        <w:wordWrap w:val="0"/>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在邹城市林业局工作人员的陪同下开展对休闲游憩绿地的调查，</w:t>
      </w:r>
    </w:p>
    <w:p>
      <w:pPr>
        <w:wordWrap w:val="0"/>
        <w:spacing w:line="360" w:lineRule="auto"/>
        <w:jc w:val="left"/>
        <w:rPr>
          <w:rFonts w:ascii="Times New Roman" w:hAnsi="Times New Roman" w:eastAsia="华文宋体" w:cs="Times New Roman"/>
          <w:sz w:val="28"/>
          <w:szCs w:val="28"/>
        </w:rPr>
      </w:pPr>
      <w:r>
        <w:rPr>
          <w:rFonts w:ascii="Times New Roman" w:hAnsi="Times New Roman" w:eastAsia="华文宋体" w:cs="Times New Roman"/>
          <w:sz w:val="28"/>
          <w:szCs w:val="28"/>
        </w:rPr>
        <w:t>将公园绿地分布图与住宅区分布图叠加，绘制邹城市建成区公园绿地</w:t>
      </w:r>
    </w:p>
    <w:p>
      <w:pPr>
        <w:wordWrap w:val="0"/>
        <w:spacing w:line="360" w:lineRule="auto"/>
        <w:jc w:val="left"/>
        <w:rPr>
          <w:rFonts w:ascii="Times New Roman" w:hAnsi="Times New Roman" w:eastAsia="华文宋体" w:cs="Times New Roman"/>
          <w:sz w:val="28"/>
          <w:szCs w:val="28"/>
        </w:rPr>
      </w:pPr>
      <w:r>
        <w:rPr>
          <w:rFonts w:ascii="Times New Roman" w:hAnsi="Times New Roman" w:eastAsia="华文宋体" w:cs="Times New Roman"/>
          <w:sz w:val="28"/>
          <w:szCs w:val="28"/>
        </w:rPr>
        <w:t>500米服务半径图。调查收集郊区森林公园、湿地公园和其它面积</w:t>
      </w:r>
    </w:p>
    <w:p>
      <w:pPr>
        <w:tabs>
          <w:tab w:val="left" w:pos="2511"/>
        </w:tabs>
        <w:wordWrap w:val="0"/>
        <w:spacing w:line="360" w:lineRule="auto"/>
        <w:rPr>
          <w:rFonts w:ascii="Times New Roman" w:hAnsi="Times New Roman" w:eastAsia="华文宋体" w:cs="Times New Roman"/>
          <w:sz w:val="28"/>
          <w:szCs w:val="28"/>
        </w:rPr>
      </w:pPr>
      <w:r>
        <w:rPr>
          <w:rFonts w:ascii="Times New Roman" w:hAnsi="Times New Roman" w:eastAsia="华文宋体" w:cs="Times New Roman"/>
          <w:sz w:val="28"/>
          <w:szCs w:val="28"/>
        </w:rPr>
        <w:t>20公顷以上的郊野公园等大型生态旅游休闲场所的数量及位置。</w:t>
      </w:r>
    </w:p>
    <w:p>
      <w:pPr>
        <w:pStyle w:val="5"/>
      </w:pPr>
      <w:r>
        <w:rPr>
          <w:rFonts w:hint="eastAsia"/>
        </w:rPr>
        <w:t xml:space="preserve">1.9.3 </w:t>
      </w:r>
      <w:r>
        <w:t>自查结果</w:t>
      </w:r>
    </w:p>
    <w:p>
      <w:pPr>
        <w:wordWrap w:val="0"/>
        <w:spacing w:line="360" w:lineRule="auto"/>
        <w:ind w:firstLine="560" w:firstLineChars="200"/>
        <w:jc w:val="left"/>
        <w:rPr>
          <w:rFonts w:ascii="Times New Roman" w:hAnsi="Times New Roman" w:eastAsia="华文宋体" w:cs="Times New Roman"/>
          <w:color w:val="FF0000"/>
          <w:sz w:val="28"/>
          <w:szCs w:val="28"/>
        </w:rPr>
      </w:pPr>
      <w:r>
        <w:rPr>
          <w:rFonts w:ascii="Times New Roman" w:hAnsi="Times New Roman" w:eastAsia="华文宋体" w:cs="Times New Roman"/>
          <w:sz w:val="28"/>
          <w:szCs w:val="28"/>
        </w:rPr>
        <w:t>达标。自创建国家森林城市以来，邹城市加大建成区绿地建设力度，合理布局，建设主要公园绿地42处，面积达到了433.44公顷，提高了休闲绿地数量和分布的均匀程度，使市民出门500米就有休闲绿地，基本满足邹城市居民日常游憩需求。邹城市郊区建有6处森林公园，其中1处国家级森林公园、2处省级森林公园、3处市级森林公园，总面积5821.2公顷。自创建国家森林城市以来，邹城市完成对</w:t>
      </w:r>
      <w:r>
        <w:rPr>
          <w:rFonts w:hint="eastAsia" w:ascii="Times New Roman" w:hAnsi="Times New Roman" w:eastAsia="华文宋体" w:cs="Times New Roman"/>
          <w:color w:val="FF0000"/>
          <w:sz w:val="28"/>
          <w:szCs w:val="28"/>
          <w:lang w:val="en-US" w:eastAsia="zh-CN"/>
        </w:rPr>
        <w:t>山东</w:t>
      </w:r>
      <w:r>
        <w:rPr>
          <w:rFonts w:ascii="Times New Roman" w:hAnsi="Times New Roman" w:eastAsia="华文宋体" w:cs="Times New Roman"/>
          <w:color w:val="FF0000"/>
          <w:sz w:val="28"/>
          <w:szCs w:val="28"/>
        </w:rPr>
        <w:t>峄山国家森林公园</w:t>
      </w:r>
      <w:r>
        <w:rPr>
          <w:rFonts w:ascii="Times New Roman" w:hAnsi="Times New Roman" w:eastAsia="华文宋体" w:cs="Times New Roman"/>
          <w:sz w:val="28"/>
          <w:szCs w:val="28"/>
        </w:rPr>
        <w:t>和凤凰山省级森林公园提升及将凫山森林公园晋升为市级森林公园；郊区建有7处湿地公园，其中有</w:t>
      </w:r>
      <w:r>
        <w:rPr>
          <w:rFonts w:hint="eastAsia" w:ascii="Times New Roman" w:hAnsi="Times New Roman" w:eastAsia="华文宋体" w:cs="Times New Roman"/>
          <w:color w:val="FF0000"/>
          <w:sz w:val="28"/>
          <w:szCs w:val="28"/>
          <w:lang w:val="en-US" w:eastAsia="zh-CN"/>
        </w:rPr>
        <w:t>山东邹城</w:t>
      </w:r>
      <w:r>
        <w:rPr>
          <w:rFonts w:ascii="Times New Roman" w:hAnsi="Times New Roman" w:eastAsia="华文宋体" w:cs="Times New Roman"/>
          <w:color w:val="FF0000"/>
          <w:sz w:val="28"/>
          <w:szCs w:val="28"/>
        </w:rPr>
        <w:t>太平国家湿地公园、</w:t>
      </w:r>
      <w:r>
        <w:rPr>
          <w:rFonts w:ascii="Times New Roman" w:hAnsi="Times New Roman" w:eastAsia="华文宋体" w:cs="Times New Roman"/>
          <w:sz w:val="28"/>
          <w:szCs w:val="28"/>
        </w:rPr>
        <w:t>北宿省级湿地公园、香城省级湿地公园、</w:t>
      </w:r>
      <w:r>
        <w:rPr>
          <w:rFonts w:ascii="Times New Roman" w:hAnsi="Times New Roman" w:eastAsia="华文宋体" w:cs="Times New Roman"/>
          <w:color w:val="FF0000"/>
          <w:sz w:val="28"/>
          <w:szCs w:val="28"/>
        </w:rPr>
        <w:t>城</w:t>
      </w:r>
      <w:r>
        <w:rPr>
          <w:rFonts w:hint="eastAsia" w:ascii="Times New Roman" w:hAnsi="Times New Roman" w:eastAsia="华文宋体" w:cs="Times New Roman"/>
          <w:color w:val="FF0000"/>
          <w:sz w:val="28"/>
          <w:szCs w:val="28"/>
          <w:lang w:val="en-US" w:eastAsia="zh-CN"/>
        </w:rPr>
        <w:t>前</w:t>
      </w:r>
      <w:r>
        <w:rPr>
          <w:rFonts w:ascii="Times New Roman" w:hAnsi="Times New Roman" w:eastAsia="华文宋体" w:cs="Times New Roman"/>
          <w:color w:val="FF0000"/>
          <w:sz w:val="28"/>
          <w:szCs w:val="28"/>
        </w:rPr>
        <w:t>蓝陵省级湿地公园、</w:t>
      </w:r>
      <w:r>
        <w:rPr>
          <w:rFonts w:ascii="Times New Roman" w:hAnsi="Times New Roman" w:eastAsia="华文宋体" w:cs="Times New Roman"/>
          <w:sz w:val="28"/>
          <w:szCs w:val="28"/>
        </w:rPr>
        <w:t>孔家河市级湿地公园、上九山市级湿地公园、匡衡湖市级湿地公园，总面积3853.66公顷。达到《国家森林城市评价指标》要求。</w:t>
      </w:r>
    </w:p>
    <w:p>
      <w:pPr>
        <w:tabs>
          <w:tab w:val="left" w:pos="2511"/>
        </w:tabs>
        <w:spacing w:line="360" w:lineRule="auto"/>
        <w:ind w:firstLine="240" w:firstLineChars="100"/>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表</w:t>
      </w:r>
      <w:r>
        <w:rPr>
          <w:rFonts w:hint="eastAsia" w:ascii="Times New Roman" w:hAnsi="Times New Roman" w:eastAsia="华文宋体" w:cs="Times New Roman"/>
          <w:sz w:val="24"/>
          <w:szCs w:val="24"/>
        </w:rPr>
        <w:t>1.</w:t>
      </w:r>
      <w:r>
        <w:rPr>
          <w:rFonts w:ascii="Times New Roman" w:hAnsi="Times New Roman" w:eastAsia="华文宋体" w:cs="Times New Roman"/>
          <w:sz w:val="24"/>
          <w:szCs w:val="24"/>
        </w:rPr>
        <w:t>9-1  2017年邹城市建成区主要公园绿地一览表</w:t>
      </w:r>
    </w:p>
    <w:p>
      <w:pPr>
        <w:tabs>
          <w:tab w:val="left" w:pos="2511"/>
        </w:tabs>
        <w:spacing w:line="360" w:lineRule="auto"/>
        <w:ind w:firstLine="240" w:firstLineChars="100"/>
        <w:jc w:val="right"/>
        <w:rPr>
          <w:rFonts w:ascii="Times New Roman" w:hAnsi="Times New Roman" w:eastAsia="华文宋体" w:cs="Times New Roman"/>
          <w:sz w:val="24"/>
          <w:szCs w:val="24"/>
        </w:rPr>
      </w:pPr>
      <w:r>
        <w:rPr>
          <w:rFonts w:ascii="Times New Roman" w:hAnsi="Times New Roman" w:eastAsia="华文宋体" w:cs="Times New Roman"/>
          <w:sz w:val="24"/>
          <w:szCs w:val="24"/>
        </w:rPr>
        <w:t>单位：公顷</w:t>
      </w:r>
    </w:p>
    <w:tbl>
      <w:tblPr>
        <w:tblStyle w:val="15"/>
        <w:tblW w:w="802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8"/>
        <w:gridCol w:w="3707"/>
        <w:gridCol w:w="343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blHeader/>
          <w:jc w:val="center"/>
        </w:trPr>
        <w:tc>
          <w:tcPr>
            <w:tcW w:w="888" w:type="dxa"/>
            <w:tcBorders>
              <w:tl2br w:val="nil"/>
              <w:tr2bl w:val="nil"/>
            </w:tcBorders>
            <w:vAlign w:val="center"/>
          </w:tcPr>
          <w:p>
            <w:pPr>
              <w:pStyle w:val="18"/>
              <w:rPr>
                <w:rFonts w:ascii="Times New Roman" w:hAnsi="Times New Roman" w:eastAsia="华文宋体" w:cs="Times New Roman"/>
                <w:b/>
                <w:bCs/>
                <w:sz w:val="24"/>
                <w:szCs w:val="24"/>
              </w:rPr>
            </w:pPr>
            <w:r>
              <w:rPr>
                <w:rFonts w:ascii="Times New Roman" w:hAnsi="Times New Roman" w:eastAsia="华文宋体" w:cs="Times New Roman"/>
                <w:b/>
                <w:bCs/>
                <w:sz w:val="24"/>
                <w:szCs w:val="24"/>
              </w:rPr>
              <w:t>序号</w:t>
            </w:r>
          </w:p>
        </w:tc>
        <w:tc>
          <w:tcPr>
            <w:tcW w:w="3707" w:type="dxa"/>
            <w:tcBorders>
              <w:tl2br w:val="nil"/>
              <w:tr2bl w:val="nil"/>
            </w:tcBorders>
            <w:vAlign w:val="center"/>
          </w:tcPr>
          <w:p>
            <w:pPr>
              <w:pStyle w:val="18"/>
              <w:rPr>
                <w:rFonts w:ascii="Times New Roman" w:hAnsi="Times New Roman" w:eastAsia="华文宋体" w:cs="Times New Roman"/>
                <w:b/>
                <w:bCs/>
                <w:sz w:val="24"/>
                <w:szCs w:val="24"/>
              </w:rPr>
            </w:pPr>
            <w:r>
              <w:rPr>
                <w:rFonts w:ascii="Times New Roman" w:hAnsi="Times New Roman" w:eastAsia="华文宋体" w:cs="Times New Roman"/>
                <w:b/>
                <w:bCs/>
                <w:sz w:val="24"/>
                <w:szCs w:val="24"/>
              </w:rPr>
              <w:t>公园名称</w:t>
            </w:r>
          </w:p>
        </w:tc>
        <w:tc>
          <w:tcPr>
            <w:tcW w:w="3431" w:type="dxa"/>
            <w:tcBorders>
              <w:tl2br w:val="nil"/>
              <w:tr2bl w:val="nil"/>
            </w:tcBorders>
            <w:vAlign w:val="center"/>
          </w:tcPr>
          <w:p>
            <w:pPr>
              <w:pStyle w:val="18"/>
              <w:rPr>
                <w:rFonts w:ascii="Times New Roman" w:hAnsi="Times New Roman" w:eastAsia="华文宋体" w:cs="Times New Roman"/>
                <w:b/>
                <w:bCs/>
                <w:sz w:val="24"/>
                <w:szCs w:val="24"/>
              </w:rPr>
            </w:pPr>
            <w:r>
              <w:rPr>
                <w:rFonts w:ascii="Times New Roman" w:hAnsi="Times New Roman" w:eastAsia="华文宋体" w:cs="Times New Roman"/>
                <w:b/>
                <w:bCs/>
                <w:sz w:val="24"/>
                <w:szCs w:val="24"/>
              </w:rPr>
              <w:t>面积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东滩路东首游园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0.04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府前公园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0.66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护驾山公园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184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水街公园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5</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杨下河公园一期</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17.65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6</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烈士陵园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11.74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7</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邻里苑社区游园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8</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马庄转盘绿地</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9</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孟府小游园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0.61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10</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明星路西首游园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11</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盘龙柱绿地</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12</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人民广场</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3.93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13</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三十米桥游园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0.21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14</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双圣碑游园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0.23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15</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泰和广场</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1.81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16</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唐王河公园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66.60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17</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体育中心</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4.95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18</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体育广场</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12.35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19</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田庄社区公园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福运广场</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21</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铁山公园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40.02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22</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铁西公园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6.98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23</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香港街角绿地</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0.03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24</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文化广场</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4.85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25</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西外环南首街心游园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2.03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26</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兖矿文化公园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0.69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27</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燕京社区公园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28</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仰圣阁游园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29</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峄山路街旁绿地</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30</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因利河公园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12.60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31</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择邻路东首游园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0.03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32</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苏庄街心花园</w:t>
            </w:r>
          </w:p>
        </w:tc>
        <w:tc>
          <w:tcPr>
            <w:tcW w:w="3431"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0.41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33</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顺河路游园</w:t>
            </w:r>
          </w:p>
        </w:tc>
        <w:tc>
          <w:tcPr>
            <w:tcW w:w="3431"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0.36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34</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名泉路西首绿地</w:t>
            </w:r>
          </w:p>
        </w:tc>
        <w:tc>
          <w:tcPr>
            <w:tcW w:w="3431"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0.25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35</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新田小区游园</w:t>
            </w:r>
          </w:p>
        </w:tc>
        <w:tc>
          <w:tcPr>
            <w:tcW w:w="3431"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36</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千泉圣泉社区广场</w:t>
            </w:r>
          </w:p>
        </w:tc>
        <w:tc>
          <w:tcPr>
            <w:tcW w:w="3431"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0.58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37</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华贸万商城周边绿地</w:t>
            </w:r>
          </w:p>
        </w:tc>
        <w:tc>
          <w:tcPr>
            <w:tcW w:w="3431"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4.61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38</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文广中心</w:t>
            </w:r>
          </w:p>
        </w:tc>
        <w:tc>
          <w:tcPr>
            <w:tcW w:w="3431"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6.90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39</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孟母三迁公园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2.60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40</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昌平花园南公园</w:t>
            </w:r>
          </w:p>
        </w:tc>
        <w:tc>
          <w:tcPr>
            <w:tcW w:w="3431"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6.80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41</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中央公园</w:t>
            </w:r>
          </w:p>
        </w:tc>
        <w:tc>
          <w:tcPr>
            <w:tcW w:w="3431" w:type="dxa"/>
            <w:tcBorders>
              <w:tl2br w:val="nil"/>
              <w:tr2bl w:val="nil"/>
            </w:tcBorders>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30.00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888" w:type="dxa"/>
            <w:tcBorders>
              <w:tl2br w:val="nil"/>
              <w:tr2bl w:val="nil"/>
            </w:tcBorders>
            <w:vAlign w:val="center"/>
          </w:tcPr>
          <w:p>
            <w:pPr>
              <w:pStyle w:val="18"/>
              <w:rPr>
                <w:rFonts w:ascii="Times New Roman" w:hAnsi="Times New Roman" w:eastAsia="宋体" w:cs="Times New Roman"/>
                <w:sz w:val="24"/>
                <w:szCs w:val="24"/>
              </w:rPr>
            </w:pPr>
            <w:r>
              <w:rPr>
                <w:rFonts w:ascii="Times New Roman" w:hAnsi="Times New Roman" w:eastAsia="宋体" w:cs="Times New Roman"/>
                <w:sz w:val="24"/>
                <w:szCs w:val="24"/>
              </w:rPr>
              <w:t>42</w:t>
            </w:r>
          </w:p>
        </w:tc>
        <w:tc>
          <w:tcPr>
            <w:tcW w:w="3707" w:type="dxa"/>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sz w:val="24"/>
                <w:szCs w:val="24"/>
              </w:rPr>
              <w:t>杨下河公园二期</w:t>
            </w:r>
          </w:p>
        </w:tc>
        <w:tc>
          <w:tcPr>
            <w:tcW w:w="3431"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50.00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3" w:hRule="atLeast"/>
          <w:jc w:val="center"/>
        </w:trPr>
        <w:tc>
          <w:tcPr>
            <w:tcW w:w="4595" w:type="dxa"/>
            <w:gridSpan w:val="2"/>
            <w:tcBorders>
              <w:tl2br w:val="nil"/>
              <w:tr2bl w:val="nil"/>
            </w:tcBorders>
            <w:vAlign w:val="center"/>
          </w:tcPr>
          <w:p>
            <w:pPr>
              <w:pStyle w:val="18"/>
              <w:rPr>
                <w:rFonts w:ascii="Times New Roman" w:hAnsi="Times New Roman" w:eastAsia="华文宋体" w:cs="Times New Roman"/>
                <w:sz w:val="24"/>
                <w:szCs w:val="24"/>
              </w:rPr>
            </w:pPr>
            <w:r>
              <w:rPr>
                <w:rFonts w:ascii="Times New Roman" w:hAnsi="Times New Roman" w:eastAsia="华文宋体" w:cs="Times New Roman"/>
                <w:b/>
                <w:bCs/>
                <w:sz w:val="24"/>
                <w:szCs w:val="24"/>
              </w:rPr>
              <w:t>合计</w:t>
            </w:r>
          </w:p>
        </w:tc>
        <w:tc>
          <w:tcPr>
            <w:tcW w:w="3431" w:type="dxa"/>
            <w:tcBorders>
              <w:tl2br w:val="nil"/>
              <w:tr2bl w:val="nil"/>
            </w:tcBorders>
            <w:vAlign w:val="center"/>
          </w:tcPr>
          <w:p>
            <w:pPr>
              <w:widowControl/>
              <w:jc w:val="center"/>
              <w:textAlignment w:val="center"/>
              <w:rPr>
                <w:rFonts w:ascii="Times New Roman" w:hAnsi="Times New Roman" w:eastAsia="宋体" w:cs="Times New Roman"/>
                <w:sz w:val="24"/>
                <w:szCs w:val="24"/>
              </w:rPr>
            </w:pPr>
            <w:r>
              <w:rPr>
                <w:rFonts w:ascii="Times New Roman" w:hAnsi="Times New Roman" w:eastAsia="宋体" w:cs="Times New Roman"/>
                <w:b/>
                <w:bCs/>
                <w:sz w:val="24"/>
                <w:szCs w:val="24"/>
              </w:rPr>
              <w:t>433.44</w:t>
            </w:r>
          </w:p>
        </w:tc>
      </w:tr>
    </w:tbl>
    <w:p>
      <w:pPr>
        <w:tabs>
          <w:tab w:val="left" w:pos="2511"/>
        </w:tabs>
        <w:spacing w:line="360" w:lineRule="auto"/>
        <w:rPr>
          <w:rFonts w:ascii="Times New Roman" w:hAnsi="Times New Roman" w:eastAsia="华文宋体" w:cs="Times New Roman"/>
          <w:sz w:val="24"/>
          <w:szCs w:val="24"/>
          <w:highlight w:val="yellow"/>
        </w:rPr>
      </w:pPr>
    </w:p>
    <w:p>
      <w:pPr>
        <w:widowControl/>
        <w:jc w:val="left"/>
        <w:rPr>
          <w:rFonts w:ascii="Times New Roman" w:hAnsi="Times New Roman" w:eastAsia="华文宋体" w:cs="Times New Roman"/>
          <w:sz w:val="24"/>
          <w:szCs w:val="24"/>
        </w:rPr>
      </w:pPr>
      <w:r>
        <w:rPr>
          <w:rFonts w:ascii="Times New Roman" w:hAnsi="Times New Roman" w:eastAsia="华文宋体" w:cs="Times New Roman"/>
          <w:sz w:val="24"/>
          <w:szCs w:val="24"/>
        </w:rPr>
        <w:br w:type="page"/>
      </w:r>
    </w:p>
    <w:p>
      <w:pPr>
        <w:tabs>
          <w:tab w:val="left" w:pos="2511"/>
        </w:tabs>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图</w:t>
      </w:r>
      <w:r>
        <w:rPr>
          <w:rFonts w:hint="eastAsia" w:ascii="Times New Roman" w:hAnsi="Times New Roman" w:eastAsia="华文宋体" w:cs="Times New Roman"/>
          <w:sz w:val="24"/>
          <w:szCs w:val="24"/>
        </w:rPr>
        <w:t>1.</w:t>
      </w:r>
      <w:r>
        <w:rPr>
          <w:rFonts w:ascii="Times New Roman" w:hAnsi="Times New Roman" w:eastAsia="华文宋体" w:cs="Times New Roman"/>
          <w:sz w:val="24"/>
          <w:szCs w:val="24"/>
        </w:rPr>
        <w:t>9-1 邹城市中心城区休闲绿地500m服务半径覆盖图</w:t>
      </w:r>
    </w:p>
    <w:p>
      <w:pPr>
        <w:tabs>
          <w:tab w:val="left" w:pos="2511"/>
        </w:tabs>
        <w:spacing w:line="360" w:lineRule="auto"/>
        <w:ind w:firstLine="240" w:firstLineChars="100"/>
        <w:jc w:val="center"/>
        <w:rPr>
          <w:rFonts w:ascii="Times New Roman" w:hAnsi="Times New Roman" w:eastAsia="华文宋体" w:cs="Times New Roman"/>
          <w:sz w:val="24"/>
          <w:szCs w:val="24"/>
        </w:rPr>
      </w:pPr>
      <w:r>
        <w:rPr>
          <w:rFonts w:ascii="Times New Roman" w:hAnsi="Times New Roman" w:eastAsia="华文宋体" w:cs="Times New Roman"/>
          <w:sz w:val="24"/>
          <w:szCs w:val="24"/>
        </w:rPr>
        <w:drawing>
          <wp:inline distT="0" distB="0" distL="114300" distR="114300">
            <wp:extent cx="5342255" cy="4284345"/>
            <wp:effectExtent l="0" t="0" r="10795" b="1905"/>
            <wp:docPr id="1" name="图片 1" descr="服务半径500米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服务半径500米图"/>
                    <pic:cNvPicPr>
                      <a:picLocks noChangeAspect="1"/>
                    </pic:cNvPicPr>
                  </pic:nvPicPr>
                  <pic:blipFill>
                    <a:blip r:embed="rId5"/>
                    <a:stretch>
                      <a:fillRect/>
                    </a:stretch>
                  </pic:blipFill>
                  <pic:spPr>
                    <a:xfrm>
                      <a:off x="0" y="0"/>
                      <a:ext cx="5342255" cy="4284345"/>
                    </a:xfrm>
                    <a:prstGeom prst="rect">
                      <a:avLst/>
                    </a:prstGeom>
                  </pic:spPr>
                </pic:pic>
              </a:graphicData>
            </a:graphic>
          </wp:inline>
        </w:drawing>
      </w:r>
    </w:p>
    <w:p>
      <w:pPr>
        <w:tabs>
          <w:tab w:val="left" w:pos="2511"/>
        </w:tabs>
        <w:spacing w:line="360" w:lineRule="auto"/>
        <w:ind w:firstLine="240" w:firstLineChars="100"/>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表</w:t>
      </w:r>
      <w:r>
        <w:rPr>
          <w:rFonts w:hint="eastAsia" w:ascii="Times New Roman" w:hAnsi="Times New Roman" w:eastAsia="华文宋体" w:cs="Times New Roman"/>
          <w:sz w:val="24"/>
          <w:szCs w:val="24"/>
        </w:rPr>
        <w:t>1.</w:t>
      </w:r>
      <w:r>
        <w:rPr>
          <w:rFonts w:ascii="Times New Roman" w:hAnsi="Times New Roman" w:eastAsia="华文宋体" w:cs="Times New Roman"/>
          <w:sz w:val="24"/>
          <w:szCs w:val="24"/>
        </w:rPr>
        <w:t>9-2 邹城市郊区大型生态旅游场所统计表</w:t>
      </w:r>
    </w:p>
    <w:p>
      <w:pPr>
        <w:wordWrap w:val="0"/>
        <w:spacing w:line="360" w:lineRule="auto"/>
        <w:ind w:left="360"/>
        <w:jc w:val="right"/>
        <w:rPr>
          <w:rFonts w:ascii="Times New Roman" w:hAnsi="Times New Roman" w:eastAsia="华文宋体" w:cs="Times New Roman"/>
          <w:sz w:val="24"/>
          <w:szCs w:val="24"/>
        </w:rPr>
      </w:pPr>
      <w:r>
        <w:rPr>
          <w:rFonts w:ascii="Times New Roman" w:hAnsi="Times New Roman" w:eastAsia="华文宋体" w:cs="Times New Roman"/>
          <w:sz w:val="24"/>
          <w:szCs w:val="24"/>
        </w:rPr>
        <w:t>单位：公顷</w:t>
      </w:r>
    </w:p>
    <w:tbl>
      <w:tblPr>
        <w:tblStyle w:val="15"/>
        <w:tblW w:w="8379" w:type="dxa"/>
        <w:jc w:val="center"/>
        <w:tblInd w:w="0" w:type="dxa"/>
        <w:tblLayout w:type="fixed"/>
        <w:tblCellMar>
          <w:top w:w="0" w:type="dxa"/>
          <w:left w:w="108" w:type="dxa"/>
          <w:bottom w:w="0" w:type="dxa"/>
          <w:right w:w="108" w:type="dxa"/>
        </w:tblCellMar>
      </w:tblPr>
      <w:tblGrid>
        <w:gridCol w:w="1224"/>
        <w:gridCol w:w="3255"/>
        <w:gridCol w:w="1395"/>
        <w:gridCol w:w="1305"/>
        <w:gridCol w:w="1200"/>
      </w:tblGrid>
      <w:tr>
        <w:tblPrEx>
          <w:tblLayout w:type="fixed"/>
          <w:tblCellMar>
            <w:top w:w="0" w:type="dxa"/>
            <w:left w:w="108" w:type="dxa"/>
            <w:bottom w:w="0" w:type="dxa"/>
            <w:right w:w="108" w:type="dxa"/>
          </w:tblCellMar>
        </w:tblPrEx>
        <w:trPr>
          <w:trHeight w:val="660" w:hRule="atLeast"/>
          <w:jc w:val="center"/>
        </w:trPr>
        <w:tc>
          <w:tcPr>
            <w:tcW w:w="12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类型</w:t>
            </w:r>
          </w:p>
        </w:tc>
        <w:tc>
          <w:tcPr>
            <w:tcW w:w="325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宋体" w:cs="Times New Roman"/>
                <w:color w:val="000000"/>
                <w:kern w:val="0"/>
                <w:sz w:val="24"/>
                <w:szCs w:val="24"/>
                <w:lang w:bidi="ar"/>
              </w:rPr>
              <w:t>名称</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位置</w:t>
            </w: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级别</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bottom"/>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面积</w:t>
            </w:r>
          </w:p>
        </w:tc>
      </w:tr>
      <w:tr>
        <w:tblPrEx>
          <w:tblLayout w:type="fixed"/>
          <w:tblCellMar>
            <w:top w:w="0" w:type="dxa"/>
            <w:left w:w="108" w:type="dxa"/>
            <w:bottom w:w="0" w:type="dxa"/>
            <w:right w:w="108" w:type="dxa"/>
          </w:tblCellMar>
        </w:tblPrEx>
        <w:trPr>
          <w:trHeight w:val="640" w:hRule="atLeast"/>
          <w:jc w:val="center"/>
        </w:trPr>
        <w:tc>
          <w:tcPr>
            <w:tcW w:w="1224" w:type="dxa"/>
            <w:vMerge w:val="restart"/>
            <w:tcBorders>
              <w:top w:val="nil"/>
              <w:left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湿地公园</w:t>
            </w:r>
          </w:p>
        </w:tc>
        <w:tc>
          <w:tcPr>
            <w:tcW w:w="32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太平国家湿地公园</w:t>
            </w:r>
          </w:p>
        </w:tc>
        <w:tc>
          <w:tcPr>
            <w:tcW w:w="139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太平镇</w:t>
            </w:r>
          </w:p>
        </w:tc>
        <w:tc>
          <w:tcPr>
            <w:tcW w:w="130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国家级</w:t>
            </w:r>
          </w:p>
        </w:tc>
        <w:tc>
          <w:tcPr>
            <w:tcW w:w="120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1004.26</w:t>
            </w:r>
          </w:p>
        </w:tc>
      </w:tr>
      <w:tr>
        <w:tblPrEx>
          <w:tblLayout w:type="fixed"/>
          <w:tblCellMar>
            <w:top w:w="0" w:type="dxa"/>
            <w:left w:w="108" w:type="dxa"/>
            <w:bottom w:w="0" w:type="dxa"/>
            <w:right w:w="108" w:type="dxa"/>
          </w:tblCellMar>
        </w:tblPrEx>
        <w:trPr>
          <w:trHeight w:val="640" w:hRule="atLeast"/>
          <w:jc w:val="center"/>
        </w:trPr>
        <w:tc>
          <w:tcPr>
            <w:tcW w:w="1224" w:type="dxa"/>
            <w:vMerge w:val="continue"/>
            <w:tcBorders>
              <w:left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香城省级湿地公园</w:t>
            </w:r>
          </w:p>
        </w:tc>
        <w:tc>
          <w:tcPr>
            <w:tcW w:w="139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香城镇</w:t>
            </w:r>
          </w:p>
        </w:tc>
        <w:tc>
          <w:tcPr>
            <w:tcW w:w="130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省级</w:t>
            </w:r>
          </w:p>
        </w:tc>
        <w:tc>
          <w:tcPr>
            <w:tcW w:w="120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400.00</w:t>
            </w:r>
          </w:p>
        </w:tc>
      </w:tr>
      <w:tr>
        <w:tblPrEx>
          <w:tblLayout w:type="fixed"/>
          <w:tblCellMar>
            <w:top w:w="0" w:type="dxa"/>
            <w:left w:w="108" w:type="dxa"/>
            <w:bottom w:w="0" w:type="dxa"/>
            <w:right w:w="108" w:type="dxa"/>
          </w:tblCellMar>
        </w:tblPrEx>
        <w:trPr>
          <w:trHeight w:val="640" w:hRule="atLeast"/>
          <w:jc w:val="center"/>
        </w:trPr>
        <w:tc>
          <w:tcPr>
            <w:tcW w:w="1224" w:type="dxa"/>
            <w:vMerge w:val="continue"/>
            <w:tcBorders>
              <w:left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北宿省级湿地公园</w:t>
            </w:r>
          </w:p>
        </w:tc>
        <w:tc>
          <w:tcPr>
            <w:tcW w:w="139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北宿镇</w:t>
            </w:r>
          </w:p>
        </w:tc>
        <w:tc>
          <w:tcPr>
            <w:tcW w:w="130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省级</w:t>
            </w:r>
          </w:p>
        </w:tc>
        <w:tc>
          <w:tcPr>
            <w:tcW w:w="120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1500.00</w:t>
            </w:r>
          </w:p>
        </w:tc>
      </w:tr>
      <w:tr>
        <w:tblPrEx>
          <w:tblLayout w:type="fixed"/>
          <w:tblCellMar>
            <w:top w:w="0" w:type="dxa"/>
            <w:left w:w="108" w:type="dxa"/>
            <w:bottom w:w="0" w:type="dxa"/>
            <w:right w:w="108" w:type="dxa"/>
          </w:tblCellMar>
        </w:tblPrEx>
        <w:trPr>
          <w:trHeight w:val="640" w:hRule="atLeast"/>
          <w:jc w:val="center"/>
        </w:trPr>
        <w:tc>
          <w:tcPr>
            <w:tcW w:w="1224" w:type="dxa"/>
            <w:vMerge w:val="continue"/>
            <w:tcBorders>
              <w:left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蓝陵省级湿地公园</w:t>
            </w:r>
          </w:p>
        </w:tc>
        <w:tc>
          <w:tcPr>
            <w:tcW w:w="139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城前镇</w:t>
            </w:r>
          </w:p>
        </w:tc>
        <w:tc>
          <w:tcPr>
            <w:tcW w:w="130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省级</w:t>
            </w:r>
          </w:p>
        </w:tc>
        <w:tc>
          <w:tcPr>
            <w:tcW w:w="120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670.50</w:t>
            </w:r>
          </w:p>
        </w:tc>
      </w:tr>
      <w:tr>
        <w:tblPrEx>
          <w:tblLayout w:type="fixed"/>
          <w:tblCellMar>
            <w:top w:w="0" w:type="dxa"/>
            <w:left w:w="108" w:type="dxa"/>
            <w:bottom w:w="0" w:type="dxa"/>
            <w:right w:w="108" w:type="dxa"/>
          </w:tblCellMar>
        </w:tblPrEx>
        <w:trPr>
          <w:trHeight w:val="640" w:hRule="atLeast"/>
          <w:jc w:val="center"/>
        </w:trPr>
        <w:tc>
          <w:tcPr>
            <w:tcW w:w="1224" w:type="dxa"/>
            <w:vMerge w:val="continue"/>
            <w:tcBorders>
              <w:left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孔家河市级湿地公园</w:t>
            </w:r>
          </w:p>
        </w:tc>
        <w:tc>
          <w:tcPr>
            <w:tcW w:w="139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唐村镇</w:t>
            </w:r>
          </w:p>
        </w:tc>
        <w:tc>
          <w:tcPr>
            <w:tcW w:w="130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市级</w:t>
            </w:r>
          </w:p>
        </w:tc>
        <w:tc>
          <w:tcPr>
            <w:tcW w:w="120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25.20</w:t>
            </w:r>
          </w:p>
        </w:tc>
      </w:tr>
      <w:tr>
        <w:tblPrEx>
          <w:tblLayout w:type="fixed"/>
          <w:tblCellMar>
            <w:top w:w="0" w:type="dxa"/>
            <w:left w:w="108" w:type="dxa"/>
            <w:bottom w:w="0" w:type="dxa"/>
            <w:right w:w="108" w:type="dxa"/>
          </w:tblCellMar>
        </w:tblPrEx>
        <w:trPr>
          <w:trHeight w:val="640" w:hRule="atLeast"/>
          <w:jc w:val="center"/>
        </w:trPr>
        <w:tc>
          <w:tcPr>
            <w:tcW w:w="1224" w:type="dxa"/>
            <w:vMerge w:val="continue"/>
            <w:tcBorders>
              <w:left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上九山市级湿地公园</w:t>
            </w:r>
          </w:p>
        </w:tc>
        <w:tc>
          <w:tcPr>
            <w:tcW w:w="139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石墙镇</w:t>
            </w:r>
          </w:p>
        </w:tc>
        <w:tc>
          <w:tcPr>
            <w:tcW w:w="130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市级</w:t>
            </w:r>
          </w:p>
        </w:tc>
        <w:tc>
          <w:tcPr>
            <w:tcW w:w="120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147.00</w:t>
            </w:r>
          </w:p>
        </w:tc>
      </w:tr>
      <w:tr>
        <w:tblPrEx>
          <w:tblLayout w:type="fixed"/>
          <w:tblCellMar>
            <w:top w:w="0" w:type="dxa"/>
            <w:left w:w="108" w:type="dxa"/>
            <w:bottom w:w="0" w:type="dxa"/>
            <w:right w:w="108" w:type="dxa"/>
          </w:tblCellMar>
        </w:tblPrEx>
        <w:trPr>
          <w:trHeight w:val="640" w:hRule="atLeast"/>
          <w:jc w:val="center"/>
        </w:trPr>
        <w:tc>
          <w:tcPr>
            <w:tcW w:w="1224"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匡衡湖市级湿地公园</w:t>
            </w:r>
          </w:p>
        </w:tc>
        <w:tc>
          <w:tcPr>
            <w:tcW w:w="139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大束镇</w:t>
            </w:r>
          </w:p>
        </w:tc>
        <w:tc>
          <w:tcPr>
            <w:tcW w:w="130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市级</w:t>
            </w:r>
          </w:p>
        </w:tc>
        <w:tc>
          <w:tcPr>
            <w:tcW w:w="120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106.70</w:t>
            </w:r>
          </w:p>
        </w:tc>
      </w:tr>
      <w:tr>
        <w:tblPrEx>
          <w:tblLayout w:type="fixed"/>
          <w:tblCellMar>
            <w:top w:w="0" w:type="dxa"/>
            <w:left w:w="108" w:type="dxa"/>
            <w:bottom w:w="0" w:type="dxa"/>
            <w:right w:w="108" w:type="dxa"/>
          </w:tblCellMar>
        </w:tblPrEx>
        <w:trPr>
          <w:trHeight w:val="640" w:hRule="atLeast"/>
          <w:jc w:val="center"/>
        </w:trPr>
        <w:tc>
          <w:tcPr>
            <w:tcW w:w="1224" w:type="dxa"/>
            <w:vMerge w:val="restart"/>
            <w:tcBorders>
              <w:top w:val="nil"/>
              <w:left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森林公园</w:t>
            </w:r>
          </w:p>
        </w:tc>
        <w:tc>
          <w:tcPr>
            <w:tcW w:w="32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山东峄山国家森林公园</w:t>
            </w:r>
          </w:p>
        </w:tc>
        <w:tc>
          <w:tcPr>
            <w:tcW w:w="139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峄山镇</w:t>
            </w:r>
          </w:p>
        </w:tc>
        <w:tc>
          <w:tcPr>
            <w:tcW w:w="130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国家级</w:t>
            </w:r>
          </w:p>
        </w:tc>
        <w:tc>
          <w:tcPr>
            <w:tcW w:w="120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2136.50</w:t>
            </w:r>
          </w:p>
        </w:tc>
      </w:tr>
      <w:tr>
        <w:tblPrEx>
          <w:tblLayout w:type="fixed"/>
          <w:tblCellMar>
            <w:top w:w="0" w:type="dxa"/>
            <w:left w:w="108" w:type="dxa"/>
            <w:bottom w:w="0" w:type="dxa"/>
            <w:right w:w="108" w:type="dxa"/>
          </w:tblCellMar>
        </w:tblPrEx>
        <w:trPr>
          <w:trHeight w:val="640" w:hRule="atLeast"/>
          <w:jc w:val="center"/>
        </w:trPr>
        <w:tc>
          <w:tcPr>
            <w:tcW w:w="1224" w:type="dxa"/>
            <w:vMerge w:val="continue"/>
            <w:tcBorders>
              <w:left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邹城市梨杭省级森林公园</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城前镇</w:t>
            </w: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省级</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705.00</w:t>
            </w:r>
          </w:p>
        </w:tc>
      </w:tr>
      <w:tr>
        <w:tblPrEx>
          <w:tblLayout w:type="fixed"/>
          <w:tblCellMar>
            <w:top w:w="0" w:type="dxa"/>
            <w:left w:w="108" w:type="dxa"/>
            <w:bottom w:w="0" w:type="dxa"/>
            <w:right w:w="108" w:type="dxa"/>
          </w:tblCellMar>
        </w:tblPrEx>
        <w:trPr>
          <w:trHeight w:val="640" w:hRule="atLeast"/>
          <w:jc w:val="center"/>
        </w:trPr>
        <w:tc>
          <w:tcPr>
            <w:tcW w:w="1224" w:type="dxa"/>
            <w:vMerge w:val="continue"/>
            <w:tcBorders>
              <w:left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邹城市凤凰山省级森林公园</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张庄镇</w:t>
            </w: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省级</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793.10</w:t>
            </w:r>
          </w:p>
        </w:tc>
      </w:tr>
      <w:tr>
        <w:tblPrEx>
          <w:tblLayout w:type="fixed"/>
          <w:tblCellMar>
            <w:top w:w="0" w:type="dxa"/>
            <w:left w:w="108" w:type="dxa"/>
            <w:bottom w:w="0" w:type="dxa"/>
            <w:right w:w="108" w:type="dxa"/>
          </w:tblCellMar>
        </w:tblPrEx>
        <w:trPr>
          <w:trHeight w:val="640" w:hRule="atLeast"/>
          <w:jc w:val="center"/>
        </w:trPr>
        <w:tc>
          <w:tcPr>
            <w:tcW w:w="1224" w:type="dxa"/>
            <w:vMerge w:val="continue"/>
            <w:tcBorders>
              <w:left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邹城市连青山森林公园</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张庄镇</w:t>
            </w: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市级</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kern w:val="0"/>
                <w:sz w:val="24"/>
                <w:szCs w:val="24"/>
              </w:rPr>
            </w:pPr>
            <w:r>
              <w:rPr>
                <w:rFonts w:ascii="Times New Roman" w:hAnsi="Times New Roman" w:eastAsia="华文宋体" w:cs="Times New Roman"/>
                <w:color w:val="000000"/>
                <w:kern w:val="0"/>
                <w:sz w:val="24"/>
                <w:szCs w:val="24"/>
                <w:lang w:bidi="ar"/>
              </w:rPr>
              <w:t>866.60</w:t>
            </w:r>
          </w:p>
        </w:tc>
      </w:tr>
      <w:tr>
        <w:tblPrEx>
          <w:tblLayout w:type="fixed"/>
          <w:tblCellMar>
            <w:top w:w="0" w:type="dxa"/>
            <w:left w:w="108" w:type="dxa"/>
            <w:bottom w:w="0" w:type="dxa"/>
            <w:right w:w="108" w:type="dxa"/>
          </w:tblCellMar>
        </w:tblPrEx>
        <w:trPr>
          <w:trHeight w:val="640" w:hRule="atLeast"/>
          <w:jc w:val="center"/>
        </w:trPr>
        <w:tc>
          <w:tcPr>
            <w:tcW w:w="1224" w:type="dxa"/>
            <w:tcBorders>
              <w:left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邹城市凫山市级森林公园</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郭里镇</w:t>
            </w: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市级</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620.00</w:t>
            </w:r>
          </w:p>
        </w:tc>
      </w:tr>
      <w:tr>
        <w:tblPrEx>
          <w:tblLayout w:type="fixed"/>
          <w:tblCellMar>
            <w:top w:w="0" w:type="dxa"/>
            <w:left w:w="108" w:type="dxa"/>
            <w:bottom w:w="0" w:type="dxa"/>
            <w:right w:w="108" w:type="dxa"/>
          </w:tblCellMar>
        </w:tblPrEx>
        <w:trPr>
          <w:trHeight w:val="640" w:hRule="atLeast"/>
          <w:jc w:val="center"/>
        </w:trPr>
        <w:tc>
          <w:tcPr>
            <w:tcW w:w="1224" w:type="dxa"/>
            <w:tcBorders>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kern w:val="0"/>
                <w:sz w:val="24"/>
                <w:szCs w:val="24"/>
              </w:rPr>
            </w:pPr>
          </w:p>
        </w:tc>
        <w:tc>
          <w:tcPr>
            <w:tcW w:w="325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邹城市狼舞山市级森林公园</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香城镇</w:t>
            </w: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市级</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华文宋体" w:cs="Times New Roman"/>
                <w:color w:val="000000"/>
                <w:kern w:val="0"/>
                <w:sz w:val="24"/>
                <w:szCs w:val="24"/>
                <w:lang w:bidi="ar"/>
              </w:rPr>
            </w:pPr>
            <w:r>
              <w:rPr>
                <w:rFonts w:ascii="Times New Roman" w:hAnsi="Times New Roman" w:eastAsia="华文宋体" w:cs="Times New Roman"/>
                <w:color w:val="000000"/>
                <w:kern w:val="0"/>
                <w:sz w:val="24"/>
                <w:szCs w:val="24"/>
                <w:lang w:bidi="ar"/>
              </w:rPr>
              <w:t>700.00</w:t>
            </w:r>
          </w:p>
        </w:tc>
      </w:tr>
    </w:tbl>
    <w:p>
      <w:pPr>
        <w:pStyle w:val="5"/>
      </w:pPr>
      <w:r>
        <w:rPr>
          <w:rFonts w:hint="eastAsia"/>
        </w:rPr>
        <w:t xml:space="preserve">1.9.4 </w:t>
      </w:r>
      <w:r>
        <w:t>支撑材料</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2017年邹城市建成区主要公园绿地一览表</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邹城市中心城区休闲绿地500m服务半径覆盖图</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邹城市大型生态旅游休闲场所一览表</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邹城市湿地公园建设情况统计一览表</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邹城市森林公园基本情况一览表</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邹城凤凰山省级森林公园</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邹城梨杭省级森林公园</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邹城凫山森林公园</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邹城连青山森林公园</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邹城狼舞山森林公园</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邹城峄山国家森林公园</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报纸信息：森林公园</w:t>
      </w:r>
    </w:p>
    <w:p>
      <w:pPr>
        <w:numPr>
          <w:ilvl w:val="0"/>
          <w:numId w:val="10"/>
        </w:numPr>
        <w:adjustRightInd w:val="0"/>
        <w:snapToGrid w:val="0"/>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13" w:name="_Toc519373546"/>
      <w:r>
        <w:rPr>
          <w:rFonts w:hint="eastAsia"/>
        </w:rPr>
        <w:t xml:space="preserve">1.10 </w:t>
      </w:r>
      <w:r>
        <w:t>村屯绿化</w:t>
      </w:r>
      <w:bookmarkEnd w:id="13"/>
    </w:p>
    <w:p>
      <w:pPr>
        <w:pStyle w:val="5"/>
      </w:pPr>
      <w:r>
        <w:rPr>
          <w:rFonts w:hint="eastAsia"/>
        </w:rPr>
        <w:t xml:space="preserve">1.10.1 </w:t>
      </w:r>
      <w:r>
        <w:t>指标要求</w:t>
      </w:r>
    </w:p>
    <w:p>
      <w:p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村旁、路旁、水旁、宅旁基本绿化，集中居住型村庄林木绿化率达30%，分散居住型村庄达15%以上。</w:t>
      </w:r>
    </w:p>
    <w:p>
      <w:pPr>
        <w:pStyle w:val="5"/>
      </w:pPr>
      <w:r>
        <w:rPr>
          <w:rFonts w:hint="eastAsia"/>
        </w:rPr>
        <w:t xml:space="preserve">1.10.2 </w:t>
      </w:r>
      <w:r>
        <w:t>方法步骤</w:t>
      </w:r>
    </w:p>
    <w:p>
      <w:pPr>
        <w:spacing w:line="360" w:lineRule="auto"/>
        <w:ind w:firstLine="560" w:firstLineChars="200"/>
        <w:jc w:val="left"/>
        <w:rPr>
          <w:rFonts w:ascii="Times New Roman" w:hAnsi="Times New Roman" w:eastAsia="华文宋体" w:cs="Times New Roman"/>
          <w:sz w:val="28"/>
        </w:rPr>
      </w:pPr>
      <w:r>
        <w:rPr>
          <w:rFonts w:ascii="Times New Roman" w:hAnsi="Times New Roman" w:eastAsia="华文宋体" w:cs="Times New Roman"/>
          <w:sz w:val="28"/>
        </w:rPr>
        <w:t>收集查阅各镇街村庄绿化相关数据，进行整理和分析。以镇为单位，随机抽样调查村庄，通过实地测量与遥感卫星图结合的方式，调</w:t>
      </w:r>
    </w:p>
    <w:p>
      <w:pPr>
        <w:spacing w:line="360" w:lineRule="auto"/>
        <w:jc w:val="left"/>
        <w:rPr>
          <w:rFonts w:ascii="Times New Roman" w:hAnsi="Times New Roman" w:eastAsia="华文宋体" w:cs="Times New Roman"/>
          <w:sz w:val="28"/>
        </w:rPr>
      </w:pPr>
      <w:r>
        <w:rPr>
          <w:rFonts w:ascii="Times New Roman" w:hAnsi="Times New Roman" w:eastAsia="华文宋体" w:cs="Times New Roman"/>
          <w:sz w:val="28"/>
        </w:rPr>
        <w:t>查村庄面积、已绿化面积、绿化树种、株数等，计算村庄林木绿化覆</w:t>
      </w:r>
    </w:p>
    <w:p>
      <w:pPr>
        <w:spacing w:line="360" w:lineRule="auto"/>
        <w:rPr>
          <w:rFonts w:ascii="Times New Roman" w:hAnsi="Times New Roman" w:eastAsia="华文宋体" w:cs="Times New Roman"/>
          <w:sz w:val="28"/>
          <w:szCs w:val="28"/>
        </w:rPr>
      </w:pPr>
      <w:r>
        <w:rPr>
          <w:rFonts w:ascii="Times New Roman" w:hAnsi="Times New Roman" w:eastAsia="华文宋体" w:cs="Times New Roman"/>
          <w:sz w:val="28"/>
        </w:rPr>
        <w:t>盖率。</w:t>
      </w:r>
    </w:p>
    <w:p>
      <w:pPr>
        <w:pStyle w:val="5"/>
      </w:pPr>
      <w:r>
        <w:rPr>
          <w:rFonts w:hint="eastAsia"/>
        </w:rPr>
        <w:t xml:space="preserve">1.10.3 </w:t>
      </w:r>
      <w:r>
        <w:t>自查结果</w:t>
      </w:r>
    </w:p>
    <w:p>
      <w:p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自创建国家森林城市以来，邹城市按照城乡一体、全面推进的绿化要求，积极开展美丽乡村建设，建设以净为底，以美为形，以文为魂，以人为本的美丽乡村，重点打造了香城、中心店、张庄、看庄、大束、田黄、石墙、城前、峄山等美丽乡村，着力加快村镇村旁、路旁、水旁、宅旁绿化建设，使村庄四旁应绿尽绿，提高了村庄林木绿化率。邹城市现建有6个省级美丽乡村示范村及4个济宁市美丽乡村示范片区、6个济宁市美丽乡村示范村。邹城市村庄类型为集中型居住，至2017年底邹城市村庄面积</w:t>
      </w:r>
      <w:r>
        <w:rPr>
          <w:rFonts w:ascii="Times New Roman" w:hAnsi="Times New Roman" w:eastAsia="华文宋体" w:cs="Times New Roman"/>
          <w:kern w:val="0"/>
          <w:sz w:val="28"/>
          <w:szCs w:val="28"/>
          <w:lang w:bidi="ar"/>
        </w:rPr>
        <w:t>13901.23</w:t>
      </w:r>
      <w:r>
        <w:rPr>
          <w:rFonts w:ascii="Times New Roman" w:hAnsi="Times New Roman" w:eastAsia="华文宋体" w:cs="Times New Roman"/>
          <w:sz w:val="28"/>
          <w:szCs w:val="28"/>
        </w:rPr>
        <w:t>公顷，林木绿化面积</w:t>
      </w:r>
      <w:r>
        <w:rPr>
          <w:rFonts w:ascii="Times New Roman" w:hAnsi="Times New Roman" w:eastAsia="华文宋体" w:cs="Times New Roman"/>
          <w:kern w:val="0"/>
          <w:sz w:val="28"/>
          <w:szCs w:val="28"/>
          <w:lang w:bidi="ar"/>
        </w:rPr>
        <w:t>4758.42</w:t>
      </w:r>
      <w:r>
        <w:rPr>
          <w:rFonts w:ascii="Times New Roman" w:hAnsi="Times New Roman" w:eastAsia="华文宋体" w:cs="Times New Roman"/>
          <w:sz w:val="28"/>
          <w:szCs w:val="28"/>
        </w:rPr>
        <w:t>公顷，村庄林木绿化率为</w:t>
      </w:r>
      <w:r>
        <w:rPr>
          <w:rFonts w:ascii="Times New Roman" w:hAnsi="Times New Roman" w:eastAsia="华文宋体" w:cs="Times New Roman"/>
          <w:kern w:val="0"/>
          <w:sz w:val="28"/>
          <w:szCs w:val="28"/>
          <w:lang w:bidi="ar"/>
        </w:rPr>
        <w:t>34.23</w:t>
      </w:r>
      <w:r>
        <w:rPr>
          <w:rFonts w:ascii="Times New Roman" w:hAnsi="Times New Roman" w:eastAsia="华文宋体" w:cs="Times New Roman"/>
          <w:sz w:val="28"/>
          <w:szCs w:val="28"/>
        </w:rPr>
        <w:t>%。达到国家森林城市评价指标规定的的要求。</w:t>
      </w:r>
    </w:p>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表</w:t>
      </w:r>
      <w:r>
        <w:rPr>
          <w:rFonts w:hint="eastAsia" w:ascii="Times New Roman" w:hAnsi="Times New Roman" w:eastAsia="华文宋体" w:cs="Times New Roman"/>
          <w:sz w:val="24"/>
          <w:szCs w:val="24"/>
        </w:rPr>
        <w:t>1.</w:t>
      </w:r>
      <w:r>
        <w:rPr>
          <w:rFonts w:ascii="Times New Roman" w:hAnsi="Times New Roman" w:eastAsia="华文宋体" w:cs="Times New Roman"/>
          <w:sz w:val="24"/>
          <w:szCs w:val="24"/>
        </w:rPr>
        <w:t xml:space="preserve">10-1  2017年邹城市村庄绿化情况统计表 </w:t>
      </w:r>
    </w:p>
    <w:p>
      <w:pPr>
        <w:jc w:val="right"/>
        <w:rPr>
          <w:rFonts w:ascii="Times New Roman" w:hAnsi="Times New Roman" w:eastAsia="华文宋体" w:cs="Times New Roman"/>
          <w:sz w:val="24"/>
          <w:szCs w:val="24"/>
        </w:rPr>
      </w:pPr>
      <w:r>
        <w:rPr>
          <w:rFonts w:ascii="Times New Roman" w:hAnsi="Times New Roman" w:eastAsia="华文宋体" w:cs="Times New Roman"/>
          <w:sz w:val="24"/>
          <w:szCs w:val="24"/>
        </w:rPr>
        <w:t>单位：公顷、%</w:t>
      </w:r>
    </w:p>
    <w:tbl>
      <w:tblPr>
        <w:tblStyle w:val="1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924"/>
        <w:gridCol w:w="1935"/>
        <w:gridCol w:w="1868"/>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2" w:hRule="atLeast"/>
        </w:trPr>
        <w:tc>
          <w:tcPr>
            <w:tcW w:w="1280" w:type="dxa"/>
            <w:vAlign w:val="center"/>
          </w:tcPr>
          <w:p>
            <w:pPr>
              <w:rPr>
                <w:rFonts w:ascii="Times New Roman" w:hAnsi="Times New Roman" w:eastAsia="华文宋体" w:cs="Times New Roman"/>
                <w:color w:val="000000"/>
                <w:sz w:val="24"/>
                <w:szCs w:val="24"/>
              </w:rPr>
            </w:pPr>
            <w:r>
              <w:rPr>
                <w:rFonts w:ascii="Times New Roman" w:hAnsi="Times New Roman" w:eastAsia="华文宋体" w:cs="Times New Roman"/>
                <w:color w:val="000000"/>
                <w:sz w:val="24"/>
                <w:szCs w:val="24"/>
              </w:rPr>
              <w:t>统计单位</w:t>
            </w:r>
          </w:p>
        </w:tc>
        <w:tc>
          <w:tcPr>
            <w:tcW w:w="1924" w:type="dxa"/>
            <w:vAlign w:val="center"/>
          </w:tcPr>
          <w:p>
            <w:pPr>
              <w:jc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sz w:val="24"/>
                <w:szCs w:val="24"/>
              </w:rPr>
              <w:t>村庄居住类型</w:t>
            </w:r>
          </w:p>
        </w:tc>
        <w:tc>
          <w:tcPr>
            <w:tcW w:w="1935" w:type="dxa"/>
            <w:vAlign w:val="center"/>
          </w:tcPr>
          <w:p>
            <w:pPr>
              <w:jc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sz w:val="24"/>
                <w:szCs w:val="24"/>
              </w:rPr>
              <w:t>村庄居民点面积</w:t>
            </w:r>
          </w:p>
        </w:tc>
        <w:tc>
          <w:tcPr>
            <w:tcW w:w="1868" w:type="dxa"/>
            <w:vAlign w:val="center"/>
          </w:tcPr>
          <w:p>
            <w:pPr>
              <w:jc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sz w:val="24"/>
                <w:szCs w:val="24"/>
              </w:rPr>
              <w:t>林木绿化面积</w:t>
            </w:r>
          </w:p>
        </w:tc>
        <w:tc>
          <w:tcPr>
            <w:tcW w:w="1513" w:type="dxa"/>
            <w:vAlign w:val="center"/>
          </w:tcPr>
          <w:p>
            <w:pPr>
              <w:jc w:val="center"/>
              <w:rPr>
                <w:rFonts w:ascii="Times New Roman" w:hAnsi="Times New Roman" w:eastAsia="华文宋体" w:cs="Times New Roman"/>
                <w:color w:val="000000"/>
                <w:sz w:val="24"/>
                <w:szCs w:val="24"/>
              </w:rPr>
            </w:pPr>
            <w:r>
              <w:rPr>
                <w:rFonts w:ascii="Times New Roman" w:hAnsi="Times New Roman" w:eastAsia="华文宋体" w:cs="Times New Roman"/>
                <w:color w:val="000000"/>
                <w:sz w:val="24"/>
                <w:szCs w:val="24"/>
              </w:rPr>
              <w:t>绿化覆盖率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邹城市</w:t>
            </w:r>
          </w:p>
        </w:tc>
        <w:tc>
          <w:tcPr>
            <w:tcW w:w="1924" w:type="dxa"/>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13901.23</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4758.42</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峄山镇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604.86</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198.83</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看庄镇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464.39</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157.27</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香城镇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top"/>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1083.28</w:t>
            </w:r>
          </w:p>
        </w:tc>
        <w:tc>
          <w:tcPr>
            <w:tcW w:w="1868" w:type="dxa"/>
            <w:vAlign w:val="center"/>
          </w:tcPr>
          <w:p>
            <w:pPr>
              <w:widowControl/>
              <w:jc w:val="center"/>
              <w:textAlignment w:val="top"/>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368.31</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张庄镇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1132.4</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356.2</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城前镇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1288.76</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430.65</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田黄镇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717.78</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233.08</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大束镇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842.61</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270.39</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中心店镇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667.64</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212.41</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北宿镇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624.97</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198.74</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唐村镇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572.06</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170.22</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29.76%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太平镇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1366.6</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414.35</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郭里镇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556.12</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212.43</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石墙镇</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957.94</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333.76</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1280"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城区街道</w:t>
            </w:r>
          </w:p>
        </w:tc>
        <w:tc>
          <w:tcPr>
            <w:tcW w:w="1924"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集中型</w:t>
            </w:r>
          </w:p>
        </w:tc>
        <w:tc>
          <w:tcPr>
            <w:tcW w:w="1935"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3021.82</w:t>
            </w:r>
          </w:p>
        </w:tc>
        <w:tc>
          <w:tcPr>
            <w:tcW w:w="1868"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1201.78</w:t>
            </w:r>
          </w:p>
        </w:tc>
        <w:tc>
          <w:tcPr>
            <w:tcW w:w="1513" w:type="dxa"/>
            <w:vAlign w:val="center"/>
          </w:tcPr>
          <w:p>
            <w:pPr>
              <w:widowControl/>
              <w:jc w:val="center"/>
              <w:textAlignment w:val="center"/>
              <w:rPr>
                <w:rFonts w:ascii="Times New Roman" w:hAnsi="Times New Roman" w:eastAsia="华文宋体" w:cs="Times New Roman"/>
                <w:sz w:val="24"/>
                <w:szCs w:val="24"/>
              </w:rPr>
            </w:pPr>
            <w:r>
              <w:rPr>
                <w:rFonts w:ascii="Times New Roman" w:hAnsi="Times New Roman" w:eastAsia="华文宋体" w:cs="Times New Roman"/>
                <w:kern w:val="0"/>
                <w:sz w:val="24"/>
                <w:szCs w:val="24"/>
                <w:lang w:bidi="ar"/>
              </w:rPr>
              <w:t>39.77%</w:t>
            </w:r>
          </w:p>
        </w:tc>
      </w:tr>
    </w:tbl>
    <w:p>
      <w:pPr>
        <w:pStyle w:val="5"/>
      </w:pPr>
      <w:r>
        <w:rPr>
          <w:rFonts w:hint="eastAsia"/>
        </w:rPr>
        <w:t xml:space="preserve">1.10.4 </w:t>
      </w:r>
      <w:r>
        <w:t>支撑材料</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2017年邹城市村庄绿化情况汇总表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北宿镇村庄林木绿化率抽样调查统计表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城前镇村庄林木绿化率抽样调查统计表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大束镇村庄林木绿化率抽样调查统计表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郭里镇村庄林木绿化率抽样调查统计表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看庄镇村庄林木绿化率抽样调查统计表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太平镇村庄林木绿化率抽样调查统计表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峄山镇村庄林木绿化率抽样调查统计表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香城镇村庄林木绿化率抽样调查统计表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田黄镇村庄林木绿化率抽样调查统计表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唐村镇村庄林木绿化率抽样调查统计表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中心店镇村庄林木绿化率抽样调查统计表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石墙镇村庄林木绿化率抽样调查统计表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张庄镇村庄林木绿化率抽样调查统计表</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2017年美丽乡村及小城镇建设工作总结</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2016年邹城市美丽乡村工作总结</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市委办公室 市政府办公室关于印发《2017年邹城市美丽乡村及小城镇建设工作要点》的通知（邹室发</w:t>
      </w:r>
      <w:r>
        <w:rPr>
          <w:rFonts w:hint="eastAsia" w:ascii="Times New Roman" w:hAnsi="Times New Roman" w:eastAsia="华文宋体" w:cs="Times New Roman"/>
          <w:sz w:val="28"/>
          <w:szCs w:val="28"/>
          <w:lang w:eastAsia="zh-CN"/>
        </w:rPr>
        <w:t>﹝201</w:t>
      </w:r>
      <w:r>
        <w:rPr>
          <w:rFonts w:hint="eastAsia" w:ascii="Times New Roman" w:hAnsi="Times New Roman" w:eastAsia="华文宋体" w:cs="Times New Roman"/>
          <w:sz w:val="28"/>
          <w:szCs w:val="28"/>
          <w:lang w:val="en-US" w:eastAsia="zh-CN"/>
        </w:rPr>
        <w:t>7</w:t>
      </w:r>
      <w:r>
        <w:rPr>
          <w:rFonts w:hint="eastAsia" w:ascii="Times New Roman" w:hAnsi="Times New Roman" w:eastAsia="华文宋体" w:cs="Times New Roman"/>
          <w:sz w:val="28"/>
          <w:szCs w:val="28"/>
          <w:lang w:eastAsia="zh-CN"/>
        </w:rPr>
        <w:t>﹞</w:t>
      </w:r>
      <w:r>
        <w:rPr>
          <w:rFonts w:ascii="Times New Roman" w:hAnsi="Times New Roman" w:eastAsia="华文宋体" w:cs="Times New Roman"/>
          <w:sz w:val="28"/>
          <w:szCs w:val="28"/>
        </w:rPr>
        <w:t>8号）</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济宁市绿化委员会关于印发2016年济宁市美丽乡村绿化工作方案实施的通知（济绿发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1号）</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邹城市美丽乡村建设工作组文件关于全市美丽乡村“三村”同建检查情况的通报（邹美丽乡村发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6号）</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邹城市美丽乡村建设工作组文件关于印发《2016年邹城市美丽乡村绿化工作实施方案》等方案的通知（邹美丽乡村发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3号）</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市委办公室 市政府办公室关于印发《2016年邹城市美丽乡村建设工作要点》的通知（邹室发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3号）</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邹城市绿化委员会关于开展美丽乡村绿化规划编制工作的通知（邹绿发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4号）</w:t>
      </w:r>
    </w:p>
    <w:p>
      <w:pPr>
        <w:numPr>
          <w:ilvl w:val="0"/>
          <w:numId w:val="11"/>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14" w:name="_Toc519373547"/>
      <w:bookmarkStart w:id="15" w:name="OLE_LINK3"/>
      <w:r>
        <w:rPr>
          <w:rFonts w:hint="eastAsia"/>
          <w:sz w:val="28"/>
          <w:szCs w:val="28"/>
        </w:rPr>
        <w:t xml:space="preserve">1.11 </w:t>
      </w:r>
      <w:r>
        <w:t>森林生态廊道建设</w:t>
      </w:r>
      <w:bookmarkEnd w:id="14"/>
    </w:p>
    <w:p>
      <w:pPr>
        <w:pStyle w:val="5"/>
      </w:pPr>
      <w:r>
        <w:rPr>
          <w:rFonts w:hint="eastAsia"/>
        </w:rPr>
        <w:t xml:space="preserve">1.11.1 </w:t>
      </w:r>
      <w:r>
        <w:t>指标要求</w:t>
      </w:r>
    </w:p>
    <w:p>
      <w:pPr>
        <w:pStyle w:val="19"/>
        <w:ind w:firstLine="565" w:firstLineChars="202"/>
        <w:rPr>
          <w:rFonts w:ascii="Times New Roman" w:hAnsi="Times New Roman" w:eastAsia="华文宋体" w:cs="Times New Roman"/>
          <w:sz w:val="28"/>
          <w:szCs w:val="28"/>
        </w:rPr>
      </w:pPr>
      <w:r>
        <w:rPr>
          <w:rFonts w:ascii="Times New Roman" w:hAnsi="Times New Roman" w:eastAsia="华文宋体" w:cs="Times New Roman"/>
          <w:sz w:val="28"/>
          <w:szCs w:val="28"/>
        </w:rPr>
        <w:t>主要森林、湿地等生态区域之间建有贯通性的森林生态廊道， 宽度能够满足本地区关键物种迁徙需要。</w:t>
      </w:r>
    </w:p>
    <w:p>
      <w:pPr>
        <w:pStyle w:val="5"/>
      </w:pPr>
      <w:r>
        <w:rPr>
          <w:rFonts w:hint="eastAsia"/>
        </w:rPr>
        <w:t xml:space="preserve">1.11.2 </w:t>
      </w:r>
      <w:r>
        <w:t>方法步骤</w:t>
      </w:r>
    </w:p>
    <w:p>
      <w:pPr>
        <w:pStyle w:val="19"/>
        <w:ind w:firstLine="565" w:firstLineChars="202"/>
        <w:rPr>
          <w:rFonts w:ascii="Times New Roman" w:hAnsi="Times New Roman" w:eastAsia="华文宋体" w:cs="Times New Roman"/>
          <w:sz w:val="28"/>
          <w:szCs w:val="28"/>
        </w:rPr>
      </w:pPr>
      <w:r>
        <w:rPr>
          <w:rFonts w:ascii="Times New Roman" w:hAnsi="Times New Roman" w:eastAsia="华文宋体" w:cs="Times New Roman"/>
          <w:sz w:val="28"/>
          <w:szCs w:val="28"/>
        </w:rPr>
        <w:t>主要通过收集邹城市地形地貌、气候土壤、山川河流等自然地理概况，森林资源和湿地资源等组成与分布，森林廊道和水系廊道等建设情况等相关资料，进行统计。</w:t>
      </w:r>
    </w:p>
    <w:p>
      <w:pPr>
        <w:pStyle w:val="5"/>
      </w:pPr>
      <w:r>
        <w:rPr>
          <w:rFonts w:hint="eastAsia"/>
        </w:rPr>
        <w:t xml:space="preserve">1.11.3 </w:t>
      </w:r>
      <w:r>
        <w:t>自查结果</w:t>
      </w:r>
    </w:p>
    <w:p>
      <w:pPr>
        <w:pStyle w:val="19"/>
        <w:ind w:firstLine="565" w:firstLineChars="202"/>
        <w:rPr>
          <w:rFonts w:ascii="Times New Roman" w:hAnsi="Times New Roman" w:cs="Times New Roman"/>
          <w:sz w:val="28"/>
          <w:szCs w:val="28"/>
        </w:rPr>
      </w:pPr>
      <w:r>
        <w:rPr>
          <w:rFonts w:ascii="Times New Roman" w:hAnsi="Times New Roman" w:eastAsia="华文宋体" w:cs="Times New Roman"/>
          <w:sz w:val="28"/>
          <w:szCs w:val="28"/>
        </w:rPr>
        <w:t>达标。邹城市已建成6处森林公园，其中1处国家级森林公园，2处省级森林公园，3处市级森林公园；建成8处湿地公园，其中国家级1处，省级3处，市级4处，这些公园的树林连续不断、水系自然贯通、地被植物间互通，为野生动物提供了繁衍生息以及活动迁徙的空间。区域内高速公路、国道省道等道路绿化林带、河道水系绿化片林和村庄围村片林密布，为野生动物的生存与迁徙提供条件。目前，在市域范围内形成了林路相依、贯通的森林生态廊道网络，类型包括道路廊道、水系廊道等，总长度为529.40千米，总面积为1302.50公顷，达到《国家森林城市评价指标》规定“主要森林、湿地等生态区域之间建有贯通性的森林生态廊道，宽度能够满足本地区关键物种迁徙需要”的要求。</w:t>
      </w:r>
    </w:p>
    <w:tbl>
      <w:tblPr>
        <w:tblStyle w:val="15"/>
        <w:tblW w:w="8528" w:type="dxa"/>
        <w:tblInd w:w="0" w:type="dxa"/>
        <w:tblLayout w:type="fixed"/>
        <w:tblCellMar>
          <w:top w:w="0" w:type="dxa"/>
          <w:left w:w="108" w:type="dxa"/>
          <w:bottom w:w="0" w:type="dxa"/>
          <w:right w:w="108" w:type="dxa"/>
        </w:tblCellMar>
      </w:tblPr>
      <w:tblGrid>
        <w:gridCol w:w="1368"/>
        <w:gridCol w:w="708"/>
        <w:gridCol w:w="1695"/>
        <w:gridCol w:w="2025"/>
        <w:gridCol w:w="1366"/>
        <w:gridCol w:w="1366"/>
      </w:tblGrid>
      <w:tr>
        <w:tblPrEx>
          <w:tblLayout w:type="fixed"/>
          <w:tblCellMar>
            <w:top w:w="0" w:type="dxa"/>
            <w:left w:w="108" w:type="dxa"/>
            <w:bottom w:w="0" w:type="dxa"/>
            <w:right w:w="108" w:type="dxa"/>
          </w:tblCellMar>
        </w:tblPrEx>
        <w:trPr>
          <w:trHeight w:val="270" w:hRule="atLeast"/>
        </w:trPr>
        <w:tc>
          <w:tcPr>
            <w:tcW w:w="8528" w:type="dxa"/>
            <w:gridSpan w:val="6"/>
            <w:tcBorders>
              <w:top w:val="nil"/>
              <w:left w:val="nil"/>
              <w:bottom w:val="nil"/>
              <w:right w:val="nil"/>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表</w:t>
            </w:r>
            <w:r>
              <w:rPr>
                <w:rFonts w:hint="eastAsia" w:ascii="Times New Roman" w:hAnsi="Times New Roman" w:eastAsia="华文宋体" w:cs="Times New Roman"/>
                <w:kern w:val="0"/>
                <w:sz w:val="24"/>
                <w:szCs w:val="24"/>
              </w:rPr>
              <w:t>1.</w:t>
            </w:r>
            <w:r>
              <w:rPr>
                <w:rFonts w:ascii="Times New Roman" w:hAnsi="Times New Roman" w:eastAsia="华文宋体" w:cs="Times New Roman"/>
                <w:kern w:val="0"/>
                <w:sz w:val="24"/>
                <w:szCs w:val="24"/>
              </w:rPr>
              <w:t>11-1   邹城市主要生态廊道统计表</w:t>
            </w:r>
          </w:p>
        </w:tc>
      </w:tr>
      <w:tr>
        <w:tblPrEx>
          <w:tblLayout w:type="fixed"/>
          <w:tblCellMar>
            <w:top w:w="0" w:type="dxa"/>
            <w:left w:w="108" w:type="dxa"/>
            <w:bottom w:w="0" w:type="dxa"/>
            <w:right w:w="108" w:type="dxa"/>
          </w:tblCellMar>
        </w:tblPrEx>
        <w:trPr>
          <w:trHeight w:val="270" w:hRule="atLeast"/>
        </w:trPr>
        <w:tc>
          <w:tcPr>
            <w:tcW w:w="1368" w:type="dxa"/>
            <w:tcBorders>
              <w:top w:val="nil"/>
              <w:left w:val="nil"/>
              <w:bottom w:val="nil"/>
              <w:right w:val="nil"/>
            </w:tcBorders>
            <w:shd w:val="clear" w:color="auto" w:fill="auto"/>
            <w:vAlign w:val="center"/>
          </w:tcPr>
          <w:p>
            <w:pPr>
              <w:widowControl/>
              <w:jc w:val="center"/>
              <w:rPr>
                <w:rFonts w:ascii="Times New Roman" w:hAnsi="Times New Roman" w:eastAsia="华文宋体" w:cs="Times New Roman"/>
                <w:kern w:val="0"/>
                <w:sz w:val="24"/>
                <w:szCs w:val="24"/>
              </w:rPr>
            </w:pPr>
          </w:p>
        </w:tc>
        <w:tc>
          <w:tcPr>
            <w:tcW w:w="708" w:type="dxa"/>
            <w:tcBorders>
              <w:top w:val="nil"/>
              <w:left w:val="nil"/>
              <w:bottom w:val="nil"/>
              <w:right w:val="nil"/>
            </w:tcBorders>
            <w:shd w:val="clear" w:color="auto" w:fill="auto"/>
            <w:vAlign w:val="center"/>
          </w:tcPr>
          <w:p>
            <w:pPr>
              <w:widowControl/>
              <w:jc w:val="center"/>
              <w:rPr>
                <w:rFonts w:ascii="Times New Roman" w:hAnsi="Times New Roman" w:eastAsia="华文宋体" w:cs="Times New Roman"/>
                <w:kern w:val="0"/>
                <w:sz w:val="24"/>
                <w:szCs w:val="24"/>
              </w:rPr>
            </w:pPr>
          </w:p>
        </w:tc>
        <w:tc>
          <w:tcPr>
            <w:tcW w:w="1695" w:type="dxa"/>
            <w:tcBorders>
              <w:top w:val="nil"/>
              <w:left w:val="nil"/>
              <w:bottom w:val="nil"/>
              <w:right w:val="nil"/>
            </w:tcBorders>
            <w:shd w:val="clear" w:color="auto" w:fill="auto"/>
            <w:vAlign w:val="center"/>
          </w:tcPr>
          <w:p>
            <w:pPr>
              <w:widowControl/>
              <w:jc w:val="center"/>
              <w:rPr>
                <w:rFonts w:ascii="Times New Roman" w:hAnsi="Times New Roman" w:eastAsia="华文宋体" w:cs="Times New Roman"/>
                <w:kern w:val="0"/>
                <w:sz w:val="24"/>
                <w:szCs w:val="24"/>
              </w:rPr>
            </w:pPr>
          </w:p>
        </w:tc>
        <w:tc>
          <w:tcPr>
            <w:tcW w:w="4757" w:type="dxa"/>
            <w:gridSpan w:val="3"/>
            <w:tcBorders>
              <w:top w:val="nil"/>
              <w:left w:val="nil"/>
              <w:bottom w:val="nil"/>
              <w:right w:val="nil"/>
            </w:tcBorders>
            <w:shd w:val="clear" w:color="auto" w:fill="auto"/>
            <w:vAlign w:val="center"/>
          </w:tcPr>
          <w:p>
            <w:pPr>
              <w:widowControl/>
              <w:jc w:val="right"/>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单位：个、千米、米、公顷</w:t>
            </w:r>
          </w:p>
        </w:tc>
      </w:tr>
      <w:tr>
        <w:tblPrEx>
          <w:tblLayout w:type="fixed"/>
          <w:tblCellMar>
            <w:top w:w="0" w:type="dxa"/>
            <w:left w:w="108" w:type="dxa"/>
            <w:bottom w:w="0" w:type="dxa"/>
            <w:right w:w="108" w:type="dxa"/>
          </w:tblCellMar>
        </w:tblPrEx>
        <w:trPr>
          <w:trHeight w:val="270" w:hRule="atLeast"/>
        </w:trPr>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廊道类型</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个数</w:t>
            </w:r>
          </w:p>
        </w:tc>
        <w:tc>
          <w:tcPr>
            <w:tcW w:w="169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名称</w:t>
            </w:r>
          </w:p>
        </w:tc>
        <w:tc>
          <w:tcPr>
            <w:tcW w:w="20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单侧绿化长度</w:t>
            </w:r>
          </w:p>
        </w:tc>
        <w:tc>
          <w:tcPr>
            <w:tcW w:w="136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绿化宽度</w:t>
            </w:r>
          </w:p>
        </w:tc>
        <w:tc>
          <w:tcPr>
            <w:tcW w:w="136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绿化面积</w:t>
            </w:r>
          </w:p>
        </w:tc>
      </w:tr>
      <w:tr>
        <w:tblPrEx>
          <w:tblLayout w:type="fixed"/>
          <w:tblCellMar>
            <w:top w:w="0" w:type="dxa"/>
            <w:left w:w="108" w:type="dxa"/>
            <w:bottom w:w="0" w:type="dxa"/>
            <w:right w:w="108" w:type="dxa"/>
          </w:tblCellMar>
        </w:tblPrEx>
        <w:trPr>
          <w:trHeight w:val="270" w:hRule="atLeast"/>
        </w:trPr>
        <w:tc>
          <w:tcPr>
            <w:tcW w:w="1368" w:type="dxa"/>
            <w:tcBorders>
              <w:top w:val="nil"/>
              <w:left w:val="single" w:color="auto" w:sz="4" w:space="0"/>
              <w:bottom w:val="single" w:color="auto" w:sz="4" w:space="0"/>
              <w:right w:val="single" w:color="auto" w:sz="4" w:space="0"/>
            </w:tcBorders>
            <w:shd w:val="clear" w:color="auto" w:fill="auto"/>
            <w:vAlign w:val="bottom"/>
          </w:tcPr>
          <w:p>
            <w:pPr>
              <w:widowControl/>
              <w:jc w:val="left"/>
              <w:rPr>
                <w:rFonts w:ascii="Times New Roman" w:hAnsi="Times New Roman" w:eastAsia="宋体" w:cs="Times New Roman"/>
                <w:b/>
                <w:color w:val="000000"/>
                <w:kern w:val="0"/>
                <w:sz w:val="24"/>
                <w:szCs w:val="24"/>
              </w:rPr>
            </w:pPr>
            <w:r>
              <w:rPr>
                <w:rFonts w:ascii="Times New Roman" w:hAnsi="Times New Roman" w:eastAsia="宋体" w:cs="Times New Roman"/>
                <w:b/>
                <w:color w:val="000000"/>
                <w:kern w:val="0"/>
                <w:sz w:val="24"/>
                <w:szCs w:val="24"/>
              </w:rPr>
              <w:t>　</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13</w:t>
            </w: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合计</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 xml:space="preserve">529.40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kern w:val="0"/>
                <w:sz w:val="24"/>
                <w:szCs w:val="24"/>
              </w:rPr>
            </w:pPr>
            <w:r>
              <w:rPr>
                <w:rFonts w:ascii="Times New Roman" w:hAnsi="Times New Roman" w:eastAsia="华文宋体" w:cs="Times New Roman"/>
                <w:b/>
                <w:kern w:val="0"/>
                <w:sz w:val="24"/>
                <w:szCs w:val="24"/>
              </w:rPr>
              <w:t xml:space="preserve">1302.50 </w:t>
            </w:r>
          </w:p>
        </w:tc>
      </w:tr>
      <w:tr>
        <w:tblPrEx>
          <w:tblLayout w:type="fixed"/>
          <w:tblCellMar>
            <w:top w:w="0" w:type="dxa"/>
            <w:left w:w="108" w:type="dxa"/>
            <w:bottom w:w="0" w:type="dxa"/>
            <w:right w:w="108" w:type="dxa"/>
          </w:tblCellMar>
        </w:tblPrEx>
        <w:trPr>
          <w:trHeight w:val="255" w:hRule="atLeast"/>
        </w:trPr>
        <w:tc>
          <w:tcPr>
            <w:tcW w:w="136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道路廊道</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9</w:t>
            </w: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计</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389.00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1083.80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新济邹路</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26.40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10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26.40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临荷路</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56.60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30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169.80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岚济路</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hint="eastAsia" w:ascii="Times New Roman" w:hAnsi="Times New Roman" w:eastAsia="华文宋体" w:cs="Times New Roman"/>
                <w:kern w:val="0"/>
                <w:sz w:val="24"/>
                <w:szCs w:val="24"/>
                <w:lang w:val="en-US" w:eastAsia="zh-CN"/>
              </w:rPr>
              <w:t>74</w:t>
            </w:r>
            <w:r>
              <w:rPr>
                <w:rFonts w:ascii="Times New Roman" w:hAnsi="Times New Roman" w:eastAsia="华文宋体" w:cs="Times New Roman"/>
                <w:kern w:val="0"/>
                <w:sz w:val="24"/>
                <w:szCs w:val="24"/>
              </w:rPr>
              <w:t xml:space="preserve">.00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20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150.00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崇尚路</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72.00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30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216.00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金临路</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21.00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30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63.00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104国道</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41.00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50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205.00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高铁连接线</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40.40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30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121.20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244省道</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38.40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30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115.20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幸福河路</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19.20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10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19.20 </w:t>
            </w:r>
          </w:p>
        </w:tc>
      </w:tr>
      <w:tr>
        <w:tblPrEx>
          <w:tblLayout w:type="fixed"/>
          <w:tblCellMar>
            <w:top w:w="0" w:type="dxa"/>
            <w:left w:w="108" w:type="dxa"/>
            <w:bottom w:w="0" w:type="dxa"/>
            <w:right w:w="108" w:type="dxa"/>
          </w:tblCellMar>
        </w:tblPrEx>
        <w:trPr>
          <w:trHeight w:val="270" w:hRule="atLeast"/>
        </w:trPr>
        <w:tc>
          <w:tcPr>
            <w:tcW w:w="136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水系廊道</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4</w:t>
            </w: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计</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140.40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218.70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泗河</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32.20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15</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48.30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白马河</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82.70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15</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124.05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望云河</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10.40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30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31.20 </w:t>
            </w:r>
          </w:p>
        </w:tc>
      </w:tr>
      <w:tr>
        <w:tblPrEx>
          <w:tblLayout w:type="fixed"/>
          <w:tblCellMar>
            <w:top w:w="0" w:type="dxa"/>
            <w:left w:w="108" w:type="dxa"/>
            <w:bottom w:w="0" w:type="dxa"/>
            <w:right w:w="108" w:type="dxa"/>
          </w:tblCellMar>
        </w:tblPrEx>
        <w:trPr>
          <w:trHeight w:val="270" w:hRule="atLeast"/>
        </w:trPr>
        <w:tc>
          <w:tcPr>
            <w:tcW w:w="13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kern w:val="0"/>
                <w:sz w:val="24"/>
                <w:szCs w:val="24"/>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小沂河</w:t>
            </w:r>
          </w:p>
        </w:tc>
        <w:tc>
          <w:tcPr>
            <w:tcW w:w="20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15.10 </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10</w:t>
            </w:r>
          </w:p>
        </w:tc>
        <w:tc>
          <w:tcPr>
            <w:tcW w:w="13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15.10 </w:t>
            </w:r>
          </w:p>
        </w:tc>
      </w:tr>
    </w:tbl>
    <w:p>
      <w:pPr>
        <w:pStyle w:val="5"/>
      </w:pPr>
      <w:r>
        <w:rPr>
          <w:rFonts w:hint="eastAsia"/>
        </w:rPr>
        <w:t xml:space="preserve">1.11.4 </w:t>
      </w:r>
      <w:r>
        <w:t>支撑材料</w:t>
      </w:r>
    </w:p>
    <w:bookmarkEnd w:id="15"/>
    <w:p>
      <w:pPr>
        <w:pStyle w:val="19"/>
        <w:numPr>
          <w:ilvl w:val="0"/>
          <w:numId w:val="12"/>
        </w:numPr>
        <w:ind w:firstLine="560"/>
        <w:rPr>
          <w:rFonts w:ascii="Times New Roman" w:hAnsi="Times New Roman" w:eastAsia="华文宋体" w:cs="Times New Roman"/>
          <w:sz w:val="28"/>
          <w:szCs w:val="28"/>
        </w:rPr>
      </w:pPr>
      <w:bookmarkStart w:id="16" w:name="OLE_LINK5"/>
      <w:bookmarkStart w:id="17" w:name="OLE_LINK4"/>
      <w:bookmarkStart w:id="18" w:name="OLE_LINK8"/>
      <w:bookmarkStart w:id="19" w:name="OLE_LINK6"/>
      <w:bookmarkStart w:id="20" w:name="OLE_LINK7"/>
      <w:r>
        <w:rPr>
          <w:rFonts w:ascii="Times New Roman" w:hAnsi="Times New Roman" w:eastAsia="华文宋体" w:cs="Times New Roman"/>
          <w:sz w:val="28"/>
          <w:szCs w:val="28"/>
        </w:rPr>
        <w:t>邹城市主要生态廊道统计表</w:t>
      </w:r>
    </w:p>
    <w:p>
      <w:pPr>
        <w:pStyle w:val="19"/>
        <w:numPr>
          <w:ilvl w:val="0"/>
          <w:numId w:val="12"/>
        </w:numPr>
        <w:ind w:firstLine="560"/>
        <w:rPr>
          <w:rFonts w:ascii="Times New Roman" w:hAnsi="Times New Roman" w:eastAsia="华文宋体" w:cs="Times New Roman"/>
          <w:color w:val="FF0000"/>
          <w:sz w:val="28"/>
          <w:szCs w:val="28"/>
        </w:rPr>
      </w:pPr>
      <w:r>
        <w:rPr>
          <w:rFonts w:ascii="Times New Roman" w:hAnsi="Times New Roman" w:eastAsia="华文宋体" w:cs="Times New Roman"/>
          <w:color w:val="FF0000"/>
          <w:sz w:val="28"/>
          <w:szCs w:val="28"/>
        </w:rPr>
        <w:t>邹城市林业局关于全市道路绿化情况报告</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邹城市水利局关于全市水系绿化工程建设情况报告</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森林公园基本情况一览表</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邹城市湿地公园建设情况统计一览表</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邹城市绿化委员会关于进一步做好京台高速公路绿色通道建设管理工作的通知(邹绿发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15号)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邹城市绿化委员会关于提升京台高速绿色通道建设管理标准的通知</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邹城市绿化委员会关于对京台高速公路两侧绿色通道树木补植的通知(邹绿发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5号)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邹城市绿化委员会关于报送京台高速绿色通道土地流转合同的通知</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邹城市绿化委员会关于加强临菏路等主干道路树木管理的通知(邹绿发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12号)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邹城市绿化委员会关于开展骨干道路绿色通道死枯树木整治工作的紧急通知(邹绿发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13号)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邹城市绿化委员会关于实施京台高速公路裸露山体绿化重点工程的通知(邹绿发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18号)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邹城市绿化委员会关于转发《济宁市绿化委员会办公室关于加快骨干道路死枯树木整治工作的通知》的通知(邹绿发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16号)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邹城市绿化委员会关于做好高速公路绿色通道断档补植、采伐更新工作的通知</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邹城市绿化委员会关于加强绿色通道两侧经济林带管理工作的通知(邹绿发</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1号)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邹城市绿化委员会关于2016年主干道路绿化标准的通知(邹绿发</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3号)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邹城市绿化委员会关于印发《临菏路西段道路绿化实施方案》的通知(邹绿发</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6号)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邹城市绿化委员会关于印发《邹城市绿色通道建设验收考核办法》的通知(邹绿发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6号)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邹城市绿化委员会关于加快推进2015年绿色通道建设的通知(邹绿发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2号)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邹城市绿化委员会关于进一步加快绿色通道建设的通知(邹绿发</w:t>
      </w:r>
      <w:r>
        <w:rPr>
          <w:rFonts w:hint="eastAsia" w:ascii="Times New Roman" w:hAnsi="Times New Roman" w:eastAsia="华文宋体" w:cs="Times New Roman"/>
          <w:sz w:val="28"/>
          <w:szCs w:val="28"/>
          <w:lang w:eastAsia="zh-CN"/>
        </w:rPr>
        <w:t>﹝2012﹞</w:t>
      </w:r>
      <w:r>
        <w:rPr>
          <w:rFonts w:ascii="Times New Roman" w:hAnsi="Times New Roman" w:eastAsia="华文宋体" w:cs="Times New Roman"/>
          <w:sz w:val="28"/>
          <w:szCs w:val="28"/>
        </w:rPr>
        <w:t>4号)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邹城市绿化委员会关于切实加强绿色通道管护的通知(邹绿发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18号)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邹城市绿化委员会关于加快崇尚线绿色通道建设的通知(邹绿发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16号)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邹城市绿化委员会关于提高京台高速绿色通道补植标准的紧急通知(邹绿发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9号)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邹城市绿化委员会关于做好2014年绿色通道建设工作的通知(邹绿发</w:t>
      </w:r>
      <w:r>
        <w:rPr>
          <w:rFonts w:hint="eastAsia" w:ascii="Times New Roman" w:hAnsi="Times New Roman" w:eastAsia="华文宋体" w:cs="Times New Roman"/>
          <w:sz w:val="28"/>
          <w:szCs w:val="28"/>
          <w:lang w:eastAsia="zh-CN"/>
        </w:rPr>
        <w:t>﹝2013﹞</w:t>
      </w:r>
      <w:r>
        <w:rPr>
          <w:rFonts w:ascii="Times New Roman" w:hAnsi="Times New Roman" w:eastAsia="华文宋体" w:cs="Times New Roman"/>
          <w:sz w:val="28"/>
          <w:szCs w:val="28"/>
        </w:rPr>
        <w:t>4号)</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邹城市水系绿化提升一期工程建设计划表</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邹城市水系绿化提升一期工程完成情况统计表</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邹城市水系林业生态保护带建设工程调查规划方案</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邹城市野生动物名录</w:t>
      </w:r>
    </w:p>
    <w:p>
      <w:pPr>
        <w:pStyle w:val="19"/>
        <w:numPr>
          <w:ilvl w:val="0"/>
          <w:numId w:val="12"/>
        </w:numPr>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照片</w:t>
      </w:r>
      <w:bookmarkEnd w:id="16"/>
      <w:bookmarkEnd w:id="17"/>
      <w:bookmarkEnd w:id="18"/>
      <w:bookmarkEnd w:id="19"/>
      <w:bookmarkEnd w:id="20"/>
    </w:p>
    <w:p>
      <w:pPr>
        <w:pStyle w:val="4"/>
      </w:pPr>
      <w:bookmarkStart w:id="21" w:name="_Toc519373548"/>
      <w:r>
        <w:rPr>
          <w:rFonts w:hint="eastAsia"/>
        </w:rPr>
        <w:t>1.</w:t>
      </w:r>
      <w:r>
        <w:t>12</w:t>
      </w:r>
      <w:r>
        <w:rPr>
          <w:rFonts w:hint="eastAsia"/>
        </w:rPr>
        <w:t xml:space="preserve"> </w:t>
      </w:r>
      <w:r>
        <w:t>水岸绿化</w:t>
      </w:r>
      <w:bookmarkEnd w:id="21"/>
    </w:p>
    <w:p>
      <w:pPr>
        <w:pStyle w:val="5"/>
      </w:pPr>
      <w:r>
        <w:rPr>
          <w:rFonts w:hint="eastAsia"/>
        </w:rPr>
        <w:t xml:space="preserve">1.12.1 </w:t>
      </w:r>
      <w:r>
        <w:t>指标要求</w:t>
      </w:r>
      <w:r>
        <w:tab/>
      </w:r>
    </w:p>
    <w:p>
      <w:pPr>
        <w:pStyle w:val="19"/>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水岸绿化要求江、河、湖、库等水体沿岸注重自然生态保护，水岸林木绿化率达80％以上。在不影响行洪安全的前提下，采用近自然的水岸绿化模式，形成城市特有的水源保护林和风景带。</w:t>
      </w:r>
    </w:p>
    <w:p>
      <w:pPr>
        <w:pStyle w:val="5"/>
      </w:pPr>
      <w:r>
        <w:rPr>
          <w:rFonts w:hint="eastAsia"/>
        </w:rPr>
        <w:t xml:space="preserve">1.12.2 </w:t>
      </w:r>
      <w:r>
        <w:t>方法步骤</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针对“创森”前未绿化与绿化未达标的河段，实地调查或利用遥感影像解译法判读目前的绿化情况，并测量绿化宽度与长度，对照相应的建设标准，逐段核查水岸绿化情况。</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重点实地调查白马河、泗河、东大河、城河、界河、浚河等主要河流及西苇水库、莫亭水库等大中型水库。沿河流两岸和水库周边实地调查绿化带长度和宽度，计算河流、水库水岸林木覆盖率。根据抽样调查结果与相关部门数据统计，计算全市水系水岸林木覆盖率。</w:t>
      </w:r>
    </w:p>
    <w:p>
      <w:pPr>
        <w:pStyle w:val="5"/>
      </w:pPr>
      <w:r>
        <w:rPr>
          <w:rFonts w:hint="eastAsia"/>
        </w:rPr>
        <w:t xml:space="preserve">1.12.3 </w:t>
      </w:r>
      <w:r>
        <w:t>自查结果</w:t>
      </w:r>
    </w:p>
    <w:p>
      <w:pPr>
        <w:pStyle w:val="19"/>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达标。自创建森林城市以来，邹城市通过白马河河道外堤绿化提升工程、西苇水库水系绿化提升工程、泗河河道外堤绿化提升工程和八一水库南岸绿化提升工程等重大项目，积极实施</w:t>
      </w:r>
      <w:r>
        <w:rPr>
          <w:rFonts w:ascii="Times New Roman" w:hAnsi="Times New Roman" w:eastAsia="华文宋体" w:cs="Times New Roman"/>
          <w:color w:val="FF0000"/>
          <w:sz w:val="28"/>
          <w:szCs w:val="28"/>
        </w:rPr>
        <w:t>造林绿化</w:t>
      </w:r>
      <w:r>
        <w:rPr>
          <w:rFonts w:ascii="Times New Roman" w:hAnsi="Times New Roman" w:eastAsia="华文宋体" w:cs="Times New Roman"/>
          <w:sz w:val="28"/>
          <w:szCs w:val="28"/>
        </w:rPr>
        <w:t>措施与生态绿化工程。各镇街以及住建、城管、交通等部门，积极筹备资金开展主城区主要江河段周边景观打造、道路绿化，协同做好全市水系绿化工作，提升水岸绿化覆盖率，加强水源涵养。以乔木为主在主要河流两侧和水库周边进行绿化，建设具有防护与景观多重功能的水岸绿化带，形成“以水为脉、以绿为衣、串珠成链、城景交融”的特色滨水景观体系。目前，全市水系可绿化总长度973.76千米，已绿化面积929.99千米，林木绿化率为95.51%，达到《国家森林城市评价指标》的要求。</w:t>
      </w:r>
    </w:p>
    <w:tbl>
      <w:tblPr>
        <w:tblStyle w:val="15"/>
        <w:tblW w:w="8528" w:type="dxa"/>
        <w:tblInd w:w="0" w:type="dxa"/>
        <w:tblLayout w:type="fixed"/>
        <w:tblCellMar>
          <w:top w:w="0" w:type="dxa"/>
          <w:left w:w="108" w:type="dxa"/>
          <w:bottom w:w="0" w:type="dxa"/>
          <w:right w:w="108" w:type="dxa"/>
        </w:tblCellMar>
      </w:tblPr>
      <w:tblGrid>
        <w:gridCol w:w="567"/>
        <w:gridCol w:w="567"/>
        <w:gridCol w:w="2145"/>
        <w:gridCol w:w="1093"/>
        <w:gridCol w:w="1619"/>
        <w:gridCol w:w="1444"/>
        <w:gridCol w:w="1093"/>
      </w:tblGrid>
      <w:tr>
        <w:tblPrEx>
          <w:tblLayout w:type="fixed"/>
          <w:tblCellMar>
            <w:top w:w="0" w:type="dxa"/>
            <w:left w:w="108" w:type="dxa"/>
            <w:bottom w:w="0" w:type="dxa"/>
            <w:right w:w="108" w:type="dxa"/>
          </w:tblCellMar>
        </w:tblPrEx>
        <w:trPr>
          <w:trHeight w:val="270" w:hRule="atLeast"/>
        </w:trPr>
        <w:tc>
          <w:tcPr>
            <w:tcW w:w="8528" w:type="dxa"/>
            <w:gridSpan w:val="7"/>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表</w:t>
            </w:r>
            <w:r>
              <w:rPr>
                <w:rFonts w:hint="eastAsia" w:ascii="Times New Roman" w:hAnsi="Times New Roman" w:eastAsia="华文宋体" w:cs="Times New Roman"/>
                <w:color w:val="000000"/>
                <w:kern w:val="0"/>
                <w:sz w:val="24"/>
                <w:szCs w:val="24"/>
              </w:rPr>
              <w:t>1.</w:t>
            </w:r>
            <w:r>
              <w:rPr>
                <w:rFonts w:ascii="Times New Roman" w:hAnsi="Times New Roman" w:eastAsia="华文宋体" w:cs="Times New Roman"/>
                <w:color w:val="000000"/>
                <w:kern w:val="0"/>
                <w:sz w:val="24"/>
                <w:szCs w:val="24"/>
              </w:rPr>
              <w:t>12-1   邹城市水岸林木绿化率统计表</w:t>
            </w:r>
          </w:p>
        </w:tc>
      </w:tr>
      <w:tr>
        <w:tblPrEx>
          <w:tblLayout w:type="fixed"/>
          <w:tblCellMar>
            <w:top w:w="0" w:type="dxa"/>
            <w:left w:w="108" w:type="dxa"/>
            <w:bottom w:w="0" w:type="dxa"/>
            <w:right w:w="108" w:type="dxa"/>
          </w:tblCellMar>
        </w:tblPrEx>
        <w:trPr>
          <w:trHeight w:val="270" w:hRule="atLeast"/>
        </w:trPr>
        <w:tc>
          <w:tcPr>
            <w:tcW w:w="567" w:type="dxa"/>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p>
        </w:tc>
        <w:tc>
          <w:tcPr>
            <w:tcW w:w="567" w:type="dxa"/>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p>
        </w:tc>
        <w:tc>
          <w:tcPr>
            <w:tcW w:w="2145" w:type="dxa"/>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p>
        </w:tc>
        <w:tc>
          <w:tcPr>
            <w:tcW w:w="1093" w:type="dxa"/>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p>
        </w:tc>
        <w:tc>
          <w:tcPr>
            <w:tcW w:w="1619" w:type="dxa"/>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p>
        </w:tc>
        <w:tc>
          <w:tcPr>
            <w:tcW w:w="2537" w:type="dxa"/>
            <w:gridSpan w:val="2"/>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单位：公顷、千米、%</w:t>
            </w:r>
          </w:p>
        </w:tc>
      </w:tr>
      <w:tr>
        <w:tblPrEx>
          <w:tblLayout w:type="fixed"/>
          <w:tblCellMar>
            <w:top w:w="0" w:type="dxa"/>
            <w:left w:w="108" w:type="dxa"/>
            <w:bottom w:w="0" w:type="dxa"/>
            <w:right w:w="108" w:type="dxa"/>
          </w:tblCellMar>
        </w:tblPrEx>
        <w:trPr>
          <w:trHeight w:val="27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序号</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类型</w:t>
            </w:r>
          </w:p>
        </w:tc>
        <w:tc>
          <w:tcPr>
            <w:tcW w:w="21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河道长度、水岸流域面积</w:t>
            </w:r>
          </w:p>
        </w:tc>
        <w:tc>
          <w:tcPr>
            <w:tcW w:w="10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水岸总长度</w:t>
            </w:r>
          </w:p>
        </w:tc>
        <w:tc>
          <w:tcPr>
            <w:tcW w:w="161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适宜绿化水岸长度</w:t>
            </w:r>
          </w:p>
        </w:tc>
        <w:tc>
          <w:tcPr>
            <w:tcW w:w="14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已绿化水岸长度</w:t>
            </w:r>
          </w:p>
        </w:tc>
        <w:tc>
          <w:tcPr>
            <w:tcW w:w="10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水岸绿化率</w:t>
            </w:r>
          </w:p>
        </w:tc>
      </w:tr>
      <w:tr>
        <w:tblPrEx>
          <w:tblLayout w:type="fixed"/>
          <w:tblCellMar>
            <w:top w:w="0" w:type="dxa"/>
            <w:left w:w="108" w:type="dxa"/>
            <w:bottom w:w="0" w:type="dxa"/>
            <w:right w:w="108" w:type="dxa"/>
          </w:tblCellMar>
        </w:tblPrEx>
        <w:trPr>
          <w:trHeight w:val="270" w:hRule="atLeast"/>
        </w:trPr>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合计</w:t>
            </w:r>
          </w:p>
        </w:tc>
        <w:tc>
          <w:tcPr>
            <w:tcW w:w="2145"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华文宋体" w:cs="Times New Roman"/>
                <w:color w:val="000000"/>
                <w:kern w:val="0"/>
                <w:sz w:val="24"/>
                <w:szCs w:val="24"/>
                <w:lang w:val="en-US" w:eastAsia="zh-CN"/>
              </w:rPr>
            </w:pPr>
            <w:r>
              <w:rPr>
                <w:rFonts w:hint="eastAsia" w:ascii="Times New Roman" w:hAnsi="Times New Roman" w:eastAsia="华文宋体" w:cs="Times New Roman"/>
                <w:color w:val="000000"/>
                <w:kern w:val="0"/>
                <w:sz w:val="24"/>
                <w:szCs w:val="24"/>
                <w:lang w:val="en-US" w:eastAsia="zh-CN"/>
              </w:rPr>
              <w:t>38842.6</w:t>
            </w:r>
          </w:p>
        </w:tc>
        <w:tc>
          <w:tcPr>
            <w:tcW w:w="10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1565.40</w:t>
            </w:r>
          </w:p>
        </w:tc>
        <w:tc>
          <w:tcPr>
            <w:tcW w:w="16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973.76</w:t>
            </w:r>
          </w:p>
        </w:tc>
        <w:tc>
          <w:tcPr>
            <w:tcW w:w="144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929.99</w:t>
            </w:r>
          </w:p>
        </w:tc>
        <w:tc>
          <w:tcPr>
            <w:tcW w:w="10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95.51</w:t>
            </w:r>
          </w:p>
        </w:tc>
      </w:tr>
      <w:tr>
        <w:tblPrEx>
          <w:tblLayout w:type="fixed"/>
          <w:tblCellMar>
            <w:top w:w="0" w:type="dxa"/>
            <w:left w:w="108" w:type="dxa"/>
            <w:bottom w:w="0" w:type="dxa"/>
            <w:right w:w="108" w:type="dxa"/>
          </w:tblCellMar>
        </w:tblPrEx>
        <w:trPr>
          <w:trHeight w:val="270" w:hRule="atLeast"/>
        </w:trPr>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河流</w:t>
            </w:r>
          </w:p>
        </w:tc>
        <w:tc>
          <w:tcPr>
            <w:tcW w:w="21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696.60</w:t>
            </w:r>
          </w:p>
        </w:tc>
        <w:tc>
          <w:tcPr>
            <w:tcW w:w="10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1393.20</w:t>
            </w:r>
          </w:p>
        </w:tc>
        <w:tc>
          <w:tcPr>
            <w:tcW w:w="16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824.34</w:t>
            </w:r>
          </w:p>
        </w:tc>
        <w:tc>
          <w:tcPr>
            <w:tcW w:w="144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791.50</w:t>
            </w:r>
          </w:p>
        </w:tc>
        <w:tc>
          <w:tcPr>
            <w:tcW w:w="10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96.02</w:t>
            </w:r>
          </w:p>
        </w:tc>
      </w:tr>
      <w:tr>
        <w:tblPrEx>
          <w:tblLayout w:type="fixed"/>
          <w:tblCellMar>
            <w:top w:w="0" w:type="dxa"/>
            <w:left w:w="108" w:type="dxa"/>
            <w:bottom w:w="0" w:type="dxa"/>
            <w:right w:w="108" w:type="dxa"/>
          </w:tblCellMar>
        </w:tblPrEx>
        <w:trPr>
          <w:trHeight w:val="270" w:hRule="atLeast"/>
        </w:trPr>
        <w:tc>
          <w:tcPr>
            <w:tcW w:w="56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水库</w:t>
            </w:r>
          </w:p>
        </w:tc>
        <w:tc>
          <w:tcPr>
            <w:tcW w:w="21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38146.00</w:t>
            </w:r>
          </w:p>
        </w:tc>
        <w:tc>
          <w:tcPr>
            <w:tcW w:w="10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172.20</w:t>
            </w:r>
          </w:p>
        </w:tc>
        <w:tc>
          <w:tcPr>
            <w:tcW w:w="16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149.42</w:t>
            </w:r>
          </w:p>
        </w:tc>
        <w:tc>
          <w:tcPr>
            <w:tcW w:w="144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138.49</w:t>
            </w:r>
          </w:p>
        </w:tc>
        <w:tc>
          <w:tcPr>
            <w:tcW w:w="10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92.69</w:t>
            </w:r>
          </w:p>
        </w:tc>
      </w:tr>
    </w:tbl>
    <w:p>
      <w:pPr>
        <w:pStyle w:val="5"/>
      </w:pPr>
      <w:r>
        <w:rPr>
          <w:rFonts w:hint="eastAsia"/>
        </w:rPr>
        <w:t xml:space="preserve">1.12.4 </w:t>
      </w:r>
      <w:r>
        <w:t>支撑材料</w:t>
      </w:r>
    </w:p>
    <w:p>
      <w:pPr>
        <w:numPr>
          <w:ilvl w:val="0"/>
          <w:numId w:val="13"/>
        </w:numPr>
        <w:tabs>
          <w:tab w:val="left" w:pos="2511"/>
        </w:tabs>
        <w:spacing w:line="360" w:lineRule="auto"/>
        <w:jc w:val="left"/>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pStyle w:val="22"/>
        <w:numPr>
          <w:ilvl w:val="0"/>
          <w:numId w:val="13"/>
        </w:numPr>
        <w:spacing w:line="360" w:lineRule="auto"/>
        <w:ind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邹城市水利局关于全市水系绿化工程建设情况报告（附：邹城市水岸林木绿化率统计表）</w:t>
      </w:r>
    </w:p>
    <w:p>
      <w:pPr>
        <w:pStyle w:val="19"/>
        <w:numPr>
          <w:ilvl w:val="0"/>
          <w:numId w:val="13"/>
        </w:numPr>
        <w:spacing w:line="360" w:lineRule="auto"/>
        <w:ind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邹城市水系林业生态保护带建设工程调查规划方案</w:t>
      </w:r>
    </w:p>
    <w:p>
      <w:pPr>
        <w:pStyle w:val="19"/>
        <w:numPr>
          <w:ilvl w:val="0"/>
          <w:numId w:val="13"/>
        </w:numPr>
        <w:spacing w:line="360" w:lineRule="auto"/>
        <w:ind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邹城市水系绿化提升一期工程建设计划表</w:t>
      </w:r>
    </w:p>
    <w:p>
      <w:pPr>
        <w:pStyle w:val="19"/>
        <w:numPr>
          <w:ilvl w:val="0"/>
          <w:numId w:val="13"/>
        </w:numPr>
        <w:spacing w:line="360" w:lineRule="auto"/>
        <w:ind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邹城市水系绿化提升一期工程完成情况统计表</w:t>
      </w:r>
    </w:p>
    <w:p>
      <w:pPr>
        <w:pStyle w:val="19"/>
        <w:numPr>
          <w:ilvl w:val="0"/>
          <w:numId w:val="13"/>
        </w:numPr>
        <w:spacing w:line="360" w:lineRule="auto"/>
        <w:ind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邹城市白马河河道外堤绿化提升工程中标通知书</w:t>
      </w:r>
    </w:p>
    <w:p>
      <w:pPr>
        <w:pStyle w:val="19"/>
        <w:numPr>
          <w:ilvl w:val="0"/>
          <w:numId w:val="13"/>
        </w:numPr>
        <w:spacing w:line="360" w:lineRule="auto"/>
        <w:ind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邹城市西苇水库水系绿化提升工程中标通知书</w:t>
      </w:r>
    </w:p>
    <w:p>
      <w:pPr>
        <w:pStyle w:val="19"/>
        <w:numPr>
          <w:ilvl w:val="0"/>
          <w:numId w:val="13"/>
        </w:numPr>
        <w:spacing w:line="360" w:lineRule="auto"/>
        <w:ind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邹城市泗河河道外堤绿化提升工程中标通知书</w:t>
      </w:r>
    </w:p>
    <w:p>
      <w:pPr>
        <w:pStyle w:val="19"/>
        <w:numPr>
          <w:ilvl w:val="0"/>
          <w:numId w:val="13"/>
        </w:numPr>
        <w:spacing w:line="360" w:lineRule="auto"/>
        <w:ind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邹城市张庄镇八一水库南岸绿化提升工程中标通知书</w:t>
      </w:r>
    </w:p>
    <w:p>
      <w:pPr>
        <w:pStyle w:val="19"/>
        <w:numPr>
          <w:ilvl w:val="0"/>
          <w:numId w:val="13"/>
        </w:numPr>
        <w:spacing w:line="360" w:lineRule="auto"/>
        <w:ind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邹城市太平镇采煤塌陷地生态修复与保护工程项目实施方案</w:t>
      </w:r>
    </w:p>
    <w:p>
      <w:pPr>
        <w:pStyle w:val="19"/>
        <w:numPr>
          <w:ilvl w:val="0"/>
          <w:numId w:val="13"/>
        </w:numPr>
        <w:spacing w:line="360" w:lineRule="auto"/>
        <w:ind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22" w:name="_Toc519373549"/>
      <w:r>
        <w:rPr>
          <w:rFonts w:hint="eastAsia"/>
          <w:sz w:val="28"/>
          <w:szCs w:val="28"/>
        </w:rPr>
        <w:t>1.13</w:t>
      </w:r>
      <w:r>
        <w:rPr>
          <w:sz w:val="28"/>
          <w:szCs w:val="28"/>
        </w:rPr>
        <w:t xml:space="preserve"> </w:t>
      </w:r>
      <w:r>
        <w:t>道路绿化</w:t>
      </w:r>
      <w:bookmarkEnd w:id="22"/>
    </w:p>
    <w:p>
      <w:pPr>
        <w:pStyle w:val="5"/>
      </w:pPr>
      <w:r>
        <w:rPr>
          <w:rFonts w:hint="eastAsia"/>
        </w:rPr>
        <w:t xml:space="preserve">1.13.1 </w:t>
      </w:r>
      <w:r>
        <w:t xml:space="preserve">指标要求 </w:t>
      </w:r>
    </w:p>
    <w:p>
      <w:pPr>
        <w:pStyle w:val="19"/>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道路绿化要求公路、铁路等道路绿化注重与周边自然、人文景观的结合与协调，因地制宜开展乔木、灌木、花草等多种形式的绿化，林木绿化率达80％以上，形成绿色景观通道。</w:t>
      </w:r>
    </w:p>
    <w:p>
      <w:pPr>
        <w:pStyle w:val="5"/>
      </w:pPr>
      <w:r>
        <w:rPr>
          <w:rFonts w:hint="eastAsia"/>
        </w:rPr>
        <w:t xml:space="preserve">1.13.2 </w:t>
      </w:r>
      <w:r>
        <w:t>方法步骤</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针对“创森”初期调查的未绿化与绿化未达标的道路，结合近三年的检查验收情况，实地调查目前的绿化情况，并测量绿化宽度与长度，对照相应的建设标准，逐级逐段核查道路绿化情况。</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对邹城市各级别交通道路随机抽样，并进行实地调查。在道路两侧适宜绿化地段随机设置5-10 个样点，测量绿化带的宽度，判断绿化情况，通过测量该调查道路的已绿化里程，计算道路林木绿化率，并以此为基础推算邹城市全部道路的林木绿化率。</w:t>
      </w:r>
    </w:p>
    <w:p>
      <w:pPr>
        <w:pStyle w:val="5"/>
      </w:pPr>
      <w:r>
        <w:rPr>
          <w:rFonts w:hint="eastAsia"/>
        </w:rPr>
        <w:t xml:space="preserve">1.13.3 </w:t>
      </w:r>
      <w:r>
        <w:t>自查结果</w:t>
      </w:r>
    </w:p>
    <w:p>
      <w:pPr>
        <w:pStyle w:val="19"/>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达标。开展创建国家森林城市以来，邹城市非常重视交通干线绿化工作，对铁路、高速公路、国省道公路及其他道路都进行了绿化提升工程。以京沪铁路为主，在原有绿化基础上，使用悬铃木、白蜡、杨树等高大乔木，配置花灌木和藤草植物，实施两侧绿化提升；以京台高速及高速出入口为主要绿化对象，建设常绿与阔叶、乔木与灌木行间或带状混交的防护林带；此外还对各国道、省道进行绿化提升完善工作，在发挥防护功能的同时，也选择了景观效果好的乡土树种进行栽植，达到了建设景观型林带的目标，形成“三季观花、四季常绿”的绿色通道网络。据调查统计，邹城市公路总里程达到2082.90千米，宜绿化总里程1934.23千米，已绿化总里程1881.10千米，林木绿化率达97.25%。其中铁路31.50千米，宜绿化24.40千米，已绿化23.90千米，绿化率97.95%；高速公路31.60千米，宜绿化30.40千米，已绿化30.30千米，绿化率99.67%；国道30.40千米，宜绿化20.50千米，已绿化20.50千米，绿化率100.00%；省道127.00千米，宜绿化91.03千米，已绿化89.30千米，绿化率98.10%；县乡道路377.80千米，宜绿化362.70千米，已绿化359.20千米，绿化率99.04%；村道1484.60千米，宜绿化1405.20千米，已绿化1357.90千米，绿化率96.63%。达到《国家森林城市评价指标》的要求。</w:t>
      </w:r>
    </w:p>
    <w:tbl>
      <w:tblPr>
        <w:tblStyle w:val="15"/>
        <w:tblW w:w="8528" w:type="dxa"/>
        <w:tblInd w:w="0" w:type="dxa"/>
        <w:tblLayout w:type="fixed"/>
        <w:tblCellMar>
          <w:top w:w="0" w:type="dxa"/>
          <w:left w:w="108" w:type="dxa"/>
          <w:bottom w:w="0" w:type="dxa"/>
          <w:right w:w="108" w:type="dxa"/>
        </w:tblCellMar>
      </w:tblPr>
      <w:tblGrid>
        <w:gridCol w:w="696"/>
        <w:gridCol w:w="1259"/>
        <w:gridCol w:w="1873"/>
        <w:gridCol w:w="1566"/>
        <w:gridCol w:w="1567"/>
        <w:gridCol w:w="1567"/>
      </w:tblGrid>
      <w:tr>
        <w:tblPrEx>
          <w:tblLayout w:type="fixed"/>
          <w:tblCellMar>
            <w:top w:w="0" w:type="dxa"/>
            <w:left w:w="108" w:type="dxa"/>
            <w:bottom w:w="0" w:type="dxa"/>
            <w:right w:w="108" w:type="dxa"/>
          </w:tblCellMar>
        </w:tblPrEx>
        <w:trPr>
          <w:trHeight w:val="270" w:hRule="atLeast"/>
        </w:trPr>
        <w:tc>
          <w:tcPr>
            <w:tcW w:w="8528" w:type="dxa"/>
            <w:gridSpan w:val="6"/>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表</w:t>
            </w:r>
            <w:r>
              <w:rPr>
                <w:rFonts w:hint="eastAsia" w:ascii="Times New Roman" w:hAnsi="Times New Roman" w:eastAsia="华文宋体" w:cs="Times New Roman"/>
                <w:color w:val="000000"/>
                <w:kern w:val="0"/>
                <w:sz w:val="24"/>
                <w:szCs w:val="24"/>
              </w:rPr>
              <w:t>1.</w:t>
            </w:r>
            <w:r>
              <w:rPr>
                <w:rFonts w:ascii="Times New Roman" w:hAnsi="Times New Roman" w:eastAsia="华文宋体" w:cs="Times New Roman"/>
                <w:color w:val="000000"/>
                <w:kern w:val="0"/>
                <w:sz w:val="24"/>
                <w:szCs w:val="24"/>
              </w:rPr>
              <w:t>13-1   邹城市道路绿化统计表</w:t>
            </w:r>
          </w:p>
        </w:tc>
      </w:tr>
      <w:tr>
        <w:tblPrEx>
          <w:tblLayout w:type="fixed"/>
          <w:tblCellMar>
            <w:top w:w="0" w:type="dxa"/>
            <w:left w:w="108" w:type="dxa"/>
            <w:bottom w:w="0" w:type="dxa"/>
            <w:right w:w="108" w:type="dxa"/>
          </w:tblCellMar>
        </w:tblPrEx>
        <w:trPr>
          <w:trHeight w:val="270" w:hRule="atLeast"/>
        </w:trPr>
        <w:tc>
          <w:tcPr>
            <w:tcW w:w="696"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1259"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1873"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1566"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3134" w:type="dxa"/>
            <w:gridSpan w:val="2"/>
            <w:tcBorders>
              <w:top w:val="nil"/>
              <w:left w:val="nil"/>
              <w:bottom w:val="nil"/>
              <w:right w:val="nil"/>
            </w:tcBorders>
            <w:shd w:val="clear" w:color="auto" w:fill="auto"/>
            <w:vAlign w:val="center"/>
          </w:tcPr>
          <w:p>
            <w:pPr>
              <w:widowControl/>
              <w:jc w:val="right"/>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单位：千米、%</w:t>
            </w:r>
          </w:p>
        </w:tc>
      </w:tr>
      <w:tr>
        <w:tblPrEx>
          <w:tblLayout w:type="fixed"/>
          <w:tblCellMar>
            <w:top w:w="0" w:type="dxa"/>
            <w:left w:w="108" w:type="dxa"/>
            <w:bottom w:w="0" w:type="dxa"/>
            <w:right w:w="108" w:type="dxa"/>
          </w:tblCellMar>
        </w:tblPrEx>
        <w:trPr>
          <w:trHeight w:val="27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序号</w:t>
            </w:r>
          </w:p>
        </w:tc>
        <w:tc>
          <w:tcPr>
            <w:tcW w:w="12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道路名称</w:t>
            </w:r>
          </w:p>
        </w:tc>
        <w:tc>
          <w:tcPr>
            <w:tcW w:w="18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境内公路里程</w:t>
            </w:r>
          </w:p>
        </w:tc>
        <w:tc>
          <w:tcPr>
            <w:tcW w:w="156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宜绿化里程</w:t>
            </w:r>
          </w:p>
        </w:tc>
        <w:tc>
          <w:tcPr>
            <w:tcW w:w="1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已绿化里程</w:t>
            </w:r>
          </w:p>
        </w:tc>
        <w:tc>
          <w:tcPr>
            <w:tcW w:w="1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林木绿化率</w:t>
            </w:r>
          </w:p>
        </w:tc>
      </w:tr>
      <w:tr>
        <w:tblPrEx>
          <w:tblLayout w:type="fixed"/>
          <w:tblCellMar>
            <w:top w:w="0" w:type="dxa"/>
            <w:left w:w="108" w:type="dxa"/>
            <w:bottom w:w="0" w:type="dxa"/>
            <w:right w:w="108" w:type="dxa"/>
          </w:tblCellMar>
        </w:tblPrEx>
        <w:trPr>
          <w:trHeight w:val="270" w:hRule="atLeast"/>
        </w:trPr>
        <w:tc>
          <w:tcPr>
            <w:tcW w:w="6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合计</w:t>
            </w:r>
          </w:p>
        </w:tc>
        <w:tc>
          <w:tcPr>
            <w:tcW w:w="125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w:t>
            </w:r>
          </w:p>
        </w:tc>
        <w:tc>
          <w:tcPr>
            <w:tcW w:w="18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2042.90 </w:t>
            </w:r>
          </w:p>
        </w:tc>
        <w:tc>
          <w:tcPr>
            <w:tcW w:w="15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1934.23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1881.10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97.25 </w:t>
            </w:r>
          </w:p>
        </w:tc>
      </w:tr>
      <w:tr>
        <w:tblPrEx>
          <w:tblLayout w:type="fixed"/>
          <w:tblCellMar>
            <w:top w:w="0" w:type="dxa"/>
            <w:left w:w="108" w:type="dxa"/>
            <w:bottom w:w="0" w:type="dxa"/>
            <w:right w:w="108" w:type="dxa"/>
          </w:tblCellMar>
        </w:tblPrEx>
        <w:trPr>
          <w:trHeight w:val="270" w:hRule="atLeast"/>
        </w:trPr>
        <w:tc>
          <w:tcPr>
            <w:tcW w:w="6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一</w:t>
            </w:r>
          </w:p>
        </w:tc>
        <w:tc>
          <w:tcPr>
            <w:tcW w:w="125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铁路</w:t>
            </w:r>
          </w:p>
        </w:tc>
        <w:tc>
          <w:tcPr>
            <w:tcW w:w="18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31.50 </w:t>
            </w:r>
          </w:p>
        </w:tc>
        <w:tc>
          <w:tcPr>
            <w:tcW w:w="15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24.40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23.90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97.95 </w:t>
            </w:r>
          </w:p>
        </w:tc>
      </w:tr>
      <w:tr>
        <w:tblPrEx>
          <w:tblLayout w:type="fixed"/>
          <w:tblCellMar>
            <w:top w:w="0" w:type="dxa"/>
            <w:left w:w="108" w:type="dxa"/>
            <w:bottom w:w="0" w:type="dxa"/>
            <w:right w:w="108" w:type="dxa"/>
          </w:tblCellMar>
        </w:tblPrEx>
        <w:trPr>
          <w:trHeight w:val="270" w:hRule="atLeast"/>
        </w:trPr>
        <w:tc>
          <w:tcPr>
            <w:tcW w:w="6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二</w:t>
            </w:r>
          </w:p>
        </w:tc>
        <w:tc>
          <w:tcPr>
            <w:tcW w:w="125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高速公路</w:t>
            </w:r>
          </w:p>
        </w:tc>
        <w:tc>
          <w:tcPr>
            <w:tcW w:w="18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31.60 </w:t>
            </w:r>
          </w:p>
        </w:tc>
        <w:tc>
          <w:tcPr>
            <w:tcW w:w="15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30.40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30.30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99.67 </w:t>
            </w:r>
          </w:p>
        </w:tc>
      </w:tr>
      <w:tr>
        <w:tblPrEx>
          <w:tblLayout w:type="fixed"/>
          <w:tblCellMar>
            <w:top w:w="0" w:type="dxa"/>
            <w:left w:w="108" w:type="dxa"/>
            <w:bottom w:w="0" w:type="dxa"/>
            <w:right w:w="108" w:type="dxa"/>
          </w:tblCellMar>
        </w:tblPrEx>
        <w:trPr>
          <w:trHeight w:val="270" w:hRule="atLeast"/>
        </w:trPr>
        <w:tc>
          <w:tcPr>
            <w:tcW w:w="6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三</w:t>
            </w:r>
          </w:p>
        </w:tc>
        <w:tc>
          <w:tcPr>
            <w:tcW w:w="125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国道</w:t>
            </w:r>
          </w:p>
        </w:tc>
        <w:tc>
          <w:tcPr>
            <w:tcW w:w="18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30.40 </w:t>
            </w:r>
          </w:p>
        </w:tc>
        <w:tc>
          <w:tcPr>
            <w:tcW w:w="15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20.50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20.50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6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四</w:t>
            </w:r>
          </w:p>
        </w:tc>
        <w:tc>
          <w:tcPr>
            <w:tcW w:w="125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省道</w:t>
            </w:r>
          </w:p>
        </w:tc>
        <w:tc>
          <w:tcPr>
            <w:tcW w:w="18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127.00 </w:t>
            </w:r>
          </w:p>
        </w:tc>
        <w:tc>
          <w:tcPr>
            <w:tcW w:w="15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91.03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89.30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98.10 </w:t>
            </w:r>
          </w:p>
        </w:tc>
      </w:tr>
      <w:tr>
        <w:tblPrEx>
          <w:tblLayout w:type="fixed"/>
          <w:tblCellMar>
            <w:top w:w="0" w:type="dxa"/>
            <w:left w:w="108" w:type="dxa"/>
            <w:bottom w:w="0" w:type="dxa"/>
            <w:right w:w="108" w:type="dxa"/>
          </w:tblCellMar>
        </w:tblPrEx>
        <w:trPr>
          <w:trHeight w:val="270" w:hRule="atLeast"/>
        </w:trPr>
        <w:tc>
          <w:tcPr>
            <w:tcW w:w="6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五</w:t>
            </w:r>
          </w:p>
        </w:tc>
        <w:tc>
          <w:tcPr>
            <w:tcW w:w="125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县乡道路</w:t>
            </w:r>
          </w:p>
        </w:tc>
        <w:tc>
          <w:tcPr>
            <w:tcW w:w="18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337.80 </w:t>
            </w:r>
          </w:p>
        </w:tc>
        <w:tc>
          <w:tcPr>
            <w:tcW w:w="15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362.70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359.20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99.04 </w:t>
            </w:r>
          </w:p>
        </w:tc>
      </w:tr>
      <w:tr>
        <w:tblPrEx>
          <w:tblLayout w:type="fixed"/>
          <w:tblCellMar>
            <w:top w:w="0" w:type="dxa"/>
            <w:left w:w="108" w:type="dxa"/>
            <w:bottom w:w="0" w:type="dxa"/>
            <w:right w:w="108" w:type="dxa"/>
          </w:tblCellMar>
        </w:tblPrEx>
        <w:trPr>
          <w:trHeight w:val="270" w:hRule="atLeast"/>
        </w:trPr>
        <w:tc>
          <w:tcPr>
            <w:tcW w:w="6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六</w:t>
            </w:r>
          </w:p>
        </w:tc>
        <w:tc>
          <w:tcPr>
            <w:tcW w:w="125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村道</w:t>
            </w:r>
          </w:p>
        </w:tc>
        <w:tc>
          <w:tcPr>
            <w:tcW w:w="18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1484.60 </w:t>
            </w:r>
          </w:p>
        </w:tc>
        <w:tc>
          <w:tcPr>
            <w:tcW w:w="156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1405.20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1357.90 </w:t>
            </w:r>
          </w:p>
        </w:tc>
        <w:tc>
          <w:tcPr>
            <w:tcW w:w="156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96.63 </w:t>
            </w:r>
          </w:p>
        </w:tc>
      </w:tr>
    </w:tbl>
    <w:p>
      <w:pPr>
        <w:pStyle w:val="5"/>
      </w:pPr>
      <w:r>
        <w:rPr>
          <w:rFonts w:hint="eastAsia"/>
        </w:rPr>
        <w:t xml:space="preserve">1.13.4 </w:t>
      </w:r>
      <w:r>
        <w:t>支撑材料</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邹城市林业局关于全市道路绿化情况报告（附：邹城市道路绿化统计表）</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邹城市京沪铁路、京台高速公路绿化统计表</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邹城市国省道路绿化统计表</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邹城市县乡道路绿化统计表</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邹城市道路绿化提升工程建设完成情况统计表</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邹城市道路绿化新建、提升工程里程完成情况统计表</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邹城市绿化委员会关于进一步做好京台高速公路绿色通道建设管理工作的通知（邹绿发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15号）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邹城市绿化委员会关于提升京台高速绿色通道建设管理标准的通知</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邹城市绿化委员会关于对京台高速公路两侧绿色通道树木补植的通知（邹绿发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5号）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邹城市绿化委员会关于报送京台高速绿色通道土地流转合同的通知</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邹城市绿化委员会关于加强临菏路等主干道路树木管理的通知（邹绿发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12号）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邹城市绿化委员会关于开展骨干道路绿色通道死枯树木整治工作的紧急通知（邹绿发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13号）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邹城市绿化委员会关于实施京台高速公路裸露山体绿化重点工程的通知（邹绿发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18号）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邹城市绿化委员会关于转发《济宁市绿化委员会办公室关于加快骨干道路死枯树木整治工作的通知》的通知（邹绿发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16号）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邹城市绿化委员会关于做好高速公路绿色通道断档补植、采伐更新工作的通知</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邹城市绿化委员会关于加强绿色通道两侧经济林带管理工作的通知（邹绿发</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1号）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邹城市绿化委员会关于2015年主干道路绿化标准的通知（邹绿发</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3号）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邹城市绿化委员会关于印发《临菏路西段道路绿化实施方案》的通知（邹绿发</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6号）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邹城市绿化委员会关于印发《邹城市绿色通道建设验收考核办法》的通知（邹绿发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6号）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邹城市绿化委员会关于加快推进2014年绿色通道建设的通知（邹绿发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2号）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邹城市绿化委员会关于切实加强绿色通道管护的通知（邹绿发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18号）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邹城市绿化委员会关于加快崇尚线绿色通道建设的通知（邹绿发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16号）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邹城市绿化委员会关于提高京台高速绿色通道补植标准的紧急通知（邹绿发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9号）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邹城市绿化委员会关于做好2013年绿色通道建设工作的通知（邹绿发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4号）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邹城市绿化委员会关于进一步明确京台高速公路绿色通道建设标准的通知（邹绿发</w:t>
      </w:r>
      <w:r>
        <w:rPr>
          <w:rFonts w:hint="eastAsia" w:ascii="Times New Roman" w:hAnsi="Times New Roman" w:eastAsia="华文宋体" w:cs="Times New Roman"/>
          <w:sz w:val="28"/>
          <w:szCs w:val="28"/>
          <w:lang w:eastAsia="zh-CN"/>
        </w:rPr>
        <w:t>﹝2012﹞</w:t>
      </w:r>
      <w:r>
        <w:rPr>
          <w:rFonts w:ascii="Times New Roman" w:hAnsi="Times New Roman" w:eastAsia="华文宋体" w:cs="Times New Roman"/>
          <w:sz w:val="28"/>
          <w:szCs w:val="28"/>
        </w:rPr>
        <w:t>7号）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邹城市绿化委员会关于进一步加快绿色通道建设的通知（邹绿发</w:t>
      </w:r>
      <w:r>
        <w:rPr>
          <w:rFonts w:hint="eastAsia" w:ascii="Times New Roman" w:hAnsi="Times New Roman" w:eastAsia="华文宋体" w:cs="Times New Roman"/>
          <w:sz w:val="28"/>
          <w:szCs w:val="28"/>
          <w:lang w:eastAsia="zh-CN"/>
        </w:rPr>
        <w:t>﹝2012﹞</w:t>
      </w:r>
      <w:r>
        <w:rPr>
          <w:rFonts w:ascii="Times New Roman" w:hAnsi="Times New Roman" w:eastAsia="华文宋体" w:cs="Times New Roman"/>
          <w:sz w:val="28"/>
          <w:szCs w:val="28"/>
        </w:rPr>
        <w:t>4号）</w:t>
      </w:r>
    </w:p>
    <w:p>
      <w:pPr>
        <w:pStyle w:val="19"/>
        <w:numPr>
          <w:ilvl w:val="0"/>
          <w:numId w:val="14"/>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23" w:name="_Toc519373550"/>
      <w:r>
        <w:rPr>
          <w:rFonts w:hint="eastAsia"/>
          <w:sz w:val="28"/>
          <w:szCs w:val="28"/>
        </w:rPr>
        <w:t xml:space="preserve">1.14 </w:t>
      </w:r>
      <w:r>
        <w:t>农田林网建设</w:t>
      </w:r>
      <w:bookmarkEnd w:id="23"/>
    </w:p>
    <w:p>
      <w:pPr>
        <w:pStyle w:val="5"/>
      </w:pPr>
      <w:r>
        <w:rPr>
          <w:rFonts w:hint="eastAsia"/>
        </w:rPr>
        <w:t xml:space="preserve">1.14.1 </w:t>
      </w:r>
      <w:r>
        <w:t>指标要求</w:t>
      </w:r>
    </w:p>
    <w:p>
      <w:p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城市郊区农田林网建设按照国家林业局 GB/T 18337.3 要求达标。</w:t>
      </w:r>
    </w:p>
    <w:p>
      <w:pPr>
        <w:pStyle w:val="5"/>
      </w:pPr>
      <w:r>
        <w:rPr>
          <w:rFonts w:hint="eastAsia"/>
        </w:rPr>
        <w:t xml:space="preserve">1.14.2 </w:t>
      </w:r>
      <w:r>
        <w:t>方法步骤</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资料统计：查阅各区有关农田林网建设的有关材料，对全市农田林网建设情况进行汇总统计。</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抽样调查：以区为单位，每个区随机抽取农田林网建设实施地进行实地调查，核查农田林网建设情况。</w:t>
      </w:r>
    </w:p>
    <w:p>
      <w:pPr>
        <w:pStyle w:val="5"/>
      </w:pPr>
      <w:r>
        <w:rPr>
          <w:rFonts w:hint="eastAsia"/>
        </w:rPr>
        <w:t xml:space="preserve">1.14.3 </w:t>
      </w:r>
      <w:r>
        <w:t>自查结果</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创建森林城市以来，邹城市结合农业综合开发项目，按照“路相通、渠相连、田成方、林成网”的原则，逐步形成了网带整齐，密度合理，点、片、带、网相结合的生态防护林体系，不仅提高了森林覆盖率，能够抵御风沙等自然灾害，还对农村经济发展起到了促进作用。同时加强管护力度，丰富栽植树种，改善林带结构，建设高标准的农田林网体系。根据资料统计和调查结果，截至2017年底，邹城市宜建林网面积33540.00</w:t>
      </w:r>
      <w:r>
        <w:rPr>
          <w:rFonts w:hint="eastAsia" w:ascii="Times New Roman" w:hAnsi="Times New Roman" w:eastAsia="华文宋体" w:cs="Times New Roman"/>
          <w:sz w:val="28"/>
          <w:szCs w:val="28"/>
          <w:lang w:val="en-US" w:eastAsia="zh-CN"/>
        </w:rPr>
        <w:t>公顷</w:t>
      </w:r>
      <w:r>
        <w:rPr>
          <w:rFonts w:ascii="Times New Roman" w:hAnsi="Times New Roman" w:eastAsia="华文宋体" w:cs="Times New Roman"/>
          <w:sz w:val="28"/>
          <w:szCs w:val="28"/>
        </w:rPr>
        <w:t>，已完成林网建设面积33540.00</w:t>
      </w:r>
      <w:r>
        <w:rPr>
          <w:rFonts w:hint="eastAsia" w:ascii="Times New Roman" w:hAnsi="Times New Roman" w:eastAsia="华文宋体" w:cs="Times New Roman"/>
          <w:sz w:val="28"/>
          <w:szCs w:val="28"/>
          <w:lang w:val="en-US" w:eastAsia="zh-CN"/>
        </w:rPr>
        <w:t>公顷</w:t>
      </w:r>
      <w:r>
        <w:rPr>
          <w:rFonts w:ascii="Times New Roman" w:hAnsi="Times New Roman" w:eastAsia="华文宋体" w:cs="Times New Roman"/>
          <w:sz w:val="28"/>
          <w:szCs w:val="28"/>
        </w:rPr>
        <w:t>，农田林网控制率达100.00%，按照国家林业局GB/T 18337.3的标准，达到《国家森林城市评价指标》的要求。</w:t>
      </w:r>
    </w:p>
    <w:tbl>
      <w:tblPr>
        <w:tblStyle w:val="15"/>
        <w:tblW w:w="8528" w:type="dxa"/>
        <w:tblInd w:w="0" w:type="dxa"/>
        <w:tblLayout w:type="fixed"/>
        <w:tblCellMar>
          <w:top w:w="0" w:type="dxa"/>
          <w:left w:w="108" w:type="dxa"/>
          <w:bottom w:w="0" w:type="dxa"/>
          <w:right w:w="108" w:type="dxa"/>
        </w:tblCellMar>
      </w:tblPr>
      <w:tblGrid>
        <w:gridCol w:w="927"/>
        <w:gridCol w:w="1793"/>
        <w:gridCol w:w="1793"/>
        <w:gridCol w:w="1793"/>
        <w:gridCol w:w="2222"/>
      </w:tblGrid>
      <w:tr>
        <w:tblPrEx>
          <w:tblLayout w:type="fixed"/>
          <w:tblCellMar>
            <w:top w:w="0" w:type="dxa"/>
            <w:left w:w="108" w:type="dxa"/>
            <w:bottom w:w="0" w:type="dxa"/>
            <w:right w:w="108" w:type="dxa"/>
          </w:tblCellMar>
        </w:tblPrEx>
        <w:trPr>
          <w:trHeight w:val="270" w:hRule="atLeast"/>
        </w:trPr>
        <w:tc>
          <w:tcPr>
            <w:tcW w:w="8528" w:type="dxa"/>
            <w:gridSpan w:val="5"/>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表</w:t>
            </w:r>
            <w:r>
              <w:rPr>
                <w:rFonts w:hint="eastAsia" w:ascii="Times New Roman" w:hAnsi="Times New Roman" w:eastAsia="华文宋体" w:cs="Times New Roman"/>
                <w:color w:val="000000"/>
                <w:kern w:val="0"/>
                <w:sz w:val="24"/>
                <w:szCs w:val="24"/>
              </w:rPr>
              <w:t>1.</w:t>
            </w:r>
            <w:r>
              <w:rPr>
                <w:rFonts w:ascii="Times New Roman" w:hAnsi="Times New Roman" w:eastAsia="华文宋体" w:cs="Times New Roman"/>
                <w:color w:val="000000"/>
                <w:kern w:val="0"/>
                <w:sz w:val="24"/>
                <w:szCs w:val="24"/>
              </w:rPr>
              <w:t>14-1   邹城市农田林网统计表</w:t>
            </w:r>
          </w:p>
        </w:tc>
      </w:tr>
      <w:tr>
        <w:tblPrEx>
          <w:tblLayout w:type="fixed"/>
          <w:tblCellMar>
            <w:top w:w="0" w:type="dxa"/>
            <w:left w:w="108" w:type="dxa"/>
            <w:bottom w:w="0" w:type="dxa"/>
            <w:right w:w="108" w:type="dxa"/>
          </w:tblCellMar>
        </w:tblPrEx>
        <w:trPr>
          <w:trHeight w:val="270" w:hRule="atLeast"/>
        </w:trPr>
        <w:tc>
          <w:tcPr>
            <w:tcW w:w="927"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1793"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1793"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4015" w:type="dxa"/>
            <w:gridSpan w:val="2"/>
            <w:tcBorders>
              <w:top w:val="nil"/>
              <w:left w:val="nil"/>
              <w:bottom w:val="nil"/>
              <w:right w:val="nil"/>
            </w:tcBorders>
            <w:shd w:val="clear" w:color="auto" w:fill="auto"/>
            <w:vAlign w:val="center"/>
          </w:tcPr>
          <w:p>
            <w:pPr>
              <w:widowControl/>
              <w:jc w:val="right"/>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单位：公顷、%</w:t>
            </w:r>
          </w:p>
        </w:tc>
      </w:tr>
      <w:tr>
        <w:tblPrEx>
          <w:tblLayout w:type="fixed"/>
          <w:tblCellMar>
            <w:top w:w="0" w:type="dxa"/>
            <w:left w:w="108" w:type="dxa"/>
            <w:bottom w:w="0" w:type="dxa"/>
            <w:right w:w="108" w:type="dxa"/>
          </w:tblCellMar>
        </w:tblPrEx>
        <w:trPr>
          <w:trHeight w:val="270" w:hRule="atLeast"/>
        </w:trPr>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序号</w:t>
            </w:r>
          </w:p>
        </w:tc>
        <w:tc>
          <w:tcPr>
            <w:tcW w:w="17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镇街</w:t>
            </w:r>
          </w:p>
        </w:tc>
        <w:tc>
          <w:tcPr>
            <w:tcW w:w="17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宜建林网</w:t>
            </w:r>
          </w:p>
        </w:tc>
        <w:tc>
          <w:tcPr>
            <w:tcW w:w="17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已建林网</w:t>
            </w:r>
          </w:p>
        </w:tc>
        <w:tc>
          <w:tcPr>
            <w:tcW w:w="222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林网控制率</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合计</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33540.00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33540.00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峄山镇</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1674.00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1674.00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看庄镇</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1120.00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1120.00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香城镇</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1020.00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1020.00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大束镇</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1556.30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1556.30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5</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中心镇</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4867.80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4867.80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6</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北宿镇</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3984.80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3984.80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7</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唐村镇</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2527.30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2527.30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8</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太平镇</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6628.80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6628.80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9</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郭里镇</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3973.00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3973.00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10</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石墙镇</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4175.00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4175.00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11</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钢山街道</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r>
        <w:tblPrEx>
          <w:tblLayout w:type="fixed"/>
          <w:tblCellMar>
            <w:top w:w="0" w:type="dxa"/>
            <w:left w:w="108" w:type="dxa"/>
            <w:bottom w:w="0" w:type="dxa"/>
            <w:right w:w="108" w:type="dxa"/>
          </w:tblCellMar>
        </w:tblPrEx>
        <w:trPr>
          <w:trHeight w:val="270" w:hRule="atLeast"/>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12</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千泉街道</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1013.00 </w:t>
            </w:r>
          </w:p>
        </w:tc>
        <w:tc>
          <w:tcPr>
            <w:tcW w:w="179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1013.00 </w:t>
            </w:r>
          </w:p>
        </w:tc>
        <w:tc>
          <w:tcPr>
            <w:tcW w:w="22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100.00 </w:t>
            </w:r>
          </w:p>
        </w:tc>
      </w:tr>
    </w:tbl>
    <w:p>
      <w:pPr>
        <w:pStyle w:val="5"/>
      </w:pPr>
      <w:r>
        <w:rPr>
          <w:rFonts w:hint="eastAsia"/>
        </w:rPr>
        <w:t xml:space="preserve">1.14.4 </w:t>
      </w:r>
      <w:r>
        <w:t xml:space="preserve">支撑材料 </w:t>
      </w:r>
    </w:p>
    <w:p>
      <w:pPr>
        <w:pStyle w:val="19"/>
        <w:numPr>
          <w:ilvl w:val="0"/>
          <w:numId w:val="15"/>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邹城市农田林网统计表</w:t>
      </w:r>
    </w:p>
    <w:p>
      <w:pPr>
        <w:pStyle w:val="19"/>
        <w:numPr>
          <w:ilvl w:val="0"/>
          <w:numId w:val="15"/>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2017年林业统计年报</w:t>
      </w:r>
    </w:p>
    <w:p>
      <w:pPr>
        <w:pStyle w:val="19"/>
        <w:numPr>
          <w:ilvl w:val="0"/>
          <w:numId w:val="15"/>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2016年林业统计年报</w:t>
      </w:r>
    </w:p>
    <w:p>
      <w:pPr>
        <w:pStyle w:val="19"/>
        <w:numPr>
          <w:ilvl w:val="0"/>
          <w:numId w:val="15"/>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济宁市建设国家森林城市工作领导小组关于创建国家森林城市工作进展情况的通报（济建森发</w:t>
      </w:r>
      <w:r>
        <w:rPr>
          <w:rFonts w:hint="eastAsia" w:ascii="Times New Roman" w:hAnsi="Times New Roman" w:eastAsia="华文宋体" w:cs="Times New Roman"/>
          <w:sz w:val="28"/>
          <w:szCs w:val="28"/>
          <w:lang w:eastAsia="zh-CN"/>
        </w:rPr>
        <w:t>﹝2018﹞</w:t>
      </w:r>
      <w:r>
        <w:rPr>
          <w:rFonts w:ascii="Times New Roman" w:hAnsi="Times New Roman" w:eastAsia="华文宋体" w:cs="Times New Roman"/>
          <w:sz w:val="28"/>
          <w:szCs w:val="28"/>
        </w:rPr>
        <w:t>2号）</w:t>
      </w:r>
    </w:p>
    <w:p>
      <w:pPr>
        <w:pStyle w:val="19"/>
        <w:numPr>
          <w:ilvl w:val="0"/>
          <w:numId w:val="15"/>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济宁市建设国家森林城市工作领导小组关于2018年度创建国家森林城市工作进展的通报（济建森发</w:t>
      </w:r>
      <w:r>
        <w:rPr>
          <w:rFonts w:hint="eastAsia" w:ascii="Times New Roman" w:hAnsi="Times New Roman" w:eastAsia="华文宋体" w:cs="Times New Roman"/>
          <w:sz w:val="28"/>
          <w:szCs w:val="28"/>
          <w:lang w:eastAsia="zh-CN"/>
        </w:rPr>
        <w:t>﹝2018﹞</w:t>
      </w:r>
      <w:r>
        <w:rPr>
          <w:rFonts w:ascii="Times New Roman" w:hAnsi="Times New Roman" w:eastAsia="华文宋体" w:cs="Times New Roman"/>
          <w:sz w:val="28"/>
          <w:szCs w:val="28"/>
        </w:rPr>
        <w:t>5号）</w:t>
      </w:r>
    </w:p>
    <w:p>
      <w:pPr>
        <w:pStyle w:val="19"/>
        <w:numPr>
          <w:ilvl w:val="0"/>
          <w:numId w:val="15"/>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邹城市平原农田林网工程建设完成情况统计表</w:t>
      </w:r>
    </w:p>
    <w:p>
      <w:pPr>
        <w:pStyle w:val="19"/>
        <w:numPr>
          <w:ilvl w:val="0"/>
          <w:numId w:val="15"/>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邹城市平原农田林网工程建设计划表</w:t>
      </w:r>
    </w:p>
    <w:p>
      <w:pPr>
        <w:pStyle w:val="19"/>
        <w:numPr>
          <w:ilvl w:val="0"/>
          <w:numId w:val="15"/>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济宁市发展和改革委员会关于转发省发展改革委等九部门《关于印发山东省高标准农田建设规划实施暂行办法的通知》的通知（济发改农经</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456号）</w:t>
      </w:r>
    </w:p>
    <w:p>
      <w:pPr>
        <w:pStyle w:val="19"/>
        <w:numPr>
          <w:ilvl w:val="0"/>
          <w:numId w:val="15"/>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24" w:name="_Toc519373551"/>
      <w:r>
        <w:rPr>
          <w:rFonts w:hint="eastAsia"/>
          <w:sz w:val="28"/>
          <w:szCs w:val="28"/>
        </w:rPr>
        <w:t xml:space="preserve">1.15 </w:t>
      </w:r>
      <w:r>
        <w:t>防护隔离林带建设</w:t>
      </w:r>
      <w:bookmarkEnd w:id="24"/>
    </w:p>
    <w:p>
      <w:pPr>
        <w:pStyle w:val="5"/>
      </w:pPr>
      <w:r>
        <w:rPr>
          <w:rFonts w:hint="eastAsia"/>
        </w:rPr>
        <w:t xml:space="preserve">1.15.1 </w:t>
      </w:r>
      <w:r>
        <w:t>指标要求</w:t>
      </w:r>
    </w:p>
    <w:p>
      <w:pPr>
        <w:tabs>
          <w:tab w:val="left" w:pos="142"/>
        </w:tabs>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城市周边、城市组团之间、城市功能分区和过渡区建有生态防护隔离带，减缓城市热岛效应、净化生态功效显著。</w:t>
      </w:r>
    </w:p>
    <w:p>
      <w:pPr>
        <w:pStyle w:val="5"/>
      </w:pPr>
      <w:r>
        <w:rPr>
          <w:rFonts w:hint="eastAsia"/>
        </w:rPr>
        <w:t xml:space="preserve">1.15.2 </w:t>
      </w:r>
      <w:r>
        <w:t>方法步骤</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资料统计。向园林局、住房和城乡建设局、水利局、交通运输局和林业局收集生态防护隔离带的建设情况。</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现场调查。对环城、重要河流水系、道路、铁路、采煤塌陷区和高压走廊等生态防护林进行实地调查，了解树种组成、配置以及防护隔离效果。</w:t>
      </w:r>
    </w:p>
    <w:p>
      <w:pPr>
        <w:pStyle w:val="5"/>
      </w:pPr>
      <w:r>
        <w:rPr>
          <w:rFonts w:hint="eastAsia"/>
        </w:rPr>
        <w:t xml:space="preserve">1.15.3 </w:t>
      </w:r>
      <w:r>
        <w:t>自查结果</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邹城市根据工矿企业、高压走廊、道路、铁路线路等现状，积极建设防护绿地，使城市组团之间生态隔离带逐步完善，形成功能完备、结构合理的城区防护林体系。在城市周边，各级森林公园、湿地公园等形成了生态隔离带，通过市区大型带状绿地、风貌带、风景林地、城市绿地等有机组合，与生态隔离带形成城市完整的生态骨架，分隔城市片区、促进城市空气交换流通，调节城市生态环境，提高城市品位，增强社会经济发展竞争力。这些防护隔离带总面积达782.23公顷，在改善景观、调节小气候、降低噪音、减轻大气污染、缓解城市热岛效应等方面发挥了显著功效，达到《国家森林城市评价指标》的要求。</w:t>
      </w:r>
    </w:p>
    <w:tbl>
      <w:tblPr>
        <w:tblStyle w:val="15"/>
        <w:tblW w:w="8528" w:type="dxa"/>
        <w:tblInd w:w="0" w:type="dxa"/>
        <w:tblLayout w:type="fixed"/>
        <w:tblCellMar>
          <w:top w:w="0" w:type="dxa"/>
          <w:left w:w="108" w:type="dxa"/>
          <w:bottom w:w="0" w:type="dxa"/>
          <w:right w:w="108" w:type="dxa"/>
        </w:tblCellMar>
      </w:tblPr>
      <w:tblGrid>
        <w:gridCol w:w="697"/>
        <w:gridCol w:w="2507"/>
        <w:gridCol w:w="3745"/>
        <w:gridCol w:w="1579"/>
      </w:tblGrid>
      <w:tr>
        <w:tblPrEx>
          <w:tblLayout w:type="fixed"/>
          <w:tblCellMar>
            <w:top w:w="0" w:type="dxa"/>
            <w:left w:w="108" w:type="dxa"/>
            <w:bottom w:w="0" w:type="dxa"/>
            <w:right w:w="108" w:type="dxa"/>
          </w:tblCellMar>
        </w:tblPrEx>
        <w:trPr>
          <w:trHeight w:val="270" w:hRule="atLeast"/>
        </w:trPr>
        <w:tc>
          <w:tcPr>
            <w:tcW w:w="8528" w:type="dxa"/>
            <w:gridSpan w:val="4"/>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表</w:t>
            </w:r>
            <w:r>
              <w:rPr>
                <w:rFonts w:hint="eastAsia" w:ascii="Times New Roman" w:hAnsi="Times New Roman" w:eastAsia="华文宋体" w:cs="Times New Roman"/>
                <w:color w:val="000000"/>
                <w:kern w:val="0"/>
                <w:sz w:val="24"/>
                <w:szCs w:val="24"/>
              </w:rPr>
              <w:t>1.</w:t>
            </w:r>
            <w:r>
              <w:rPr>
                <w:rFonts w:ascii="Times New Roman" w:hAnsi="Times New Roman" w:eastAsia="华文宋体" w:cs="Times New Roman"/>
                <w:color w:val="000000"/>
                <w:kern w:val="0"/>
                <w:sz w:val="24"/>
                <w:szCs w:val="24"/>
              </w:rPr>
              <w:t>15-1   邹城市防护隔离林带统计表</w:t>
            </w:r>
          </w:p>
        </w:tc>
      </w:tr>
      <w:tr>
        <w:tblPrEx>
          <w:tblLayout w:type="fixed"/>
          <w:tblCellMar>
            <w:top w:w="0" w:type="dxa"/>
            <w:left w:w="108" w:type="dxa"/>
            <w:bottom w:w="0" w:type="dxa"/>
            <w:right w:w="108" w:type="dxa"/>
          </w:tblCellMar>
        </w:tblPrEx>
        <w:trPr>
          <w:trHeight w:val="270" w:hRule="atLeast"/>
        </w:trPr>
        <w:tc>
          <w:tcPr>
            <w:tcW w:w="697"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2507"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3745"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1579" w:type="dxa"/>
            <w:tcBorders>
              <w:top w:val="nil"/>
              <w:left w:val="nil"/>
              <w:bottom w:val="nil"/>
              <w:right w:val="nil"/>
            </w:tcBorders>
            <w:shd w:val="clear" w:color="auto" w:fill="auto"/>
            <w:vAlign w:val="center"/>
          </w:tcPr>
          <w:p>
            <w:pPr>
              <w:widowControl/>
              <w:jc w:val="right"/>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单位：公顷</w:t>
            </w:r>
          </w:p>
        </w:tc>
      </w:tr>
      <w:tr>
        <w:tblPrEx>
          <w:tblLayout w:type="fixed"/>
          <w:tblCellMar>
            <w:top w:w="0" w:type="dxa"/>
            <w:left w:w="108" w:type="dxa"/>
            <w:bottom w:w="0" w:type="dxa"/>
            <w:right w:w="108" w:type="dxa"/>
          </w:tblCellMar>
        </w:tblPrEx>
        <w:trPr>
          <w:trHeight w:val="27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序号</w:t>
            </w:r>
          </w:p>
        </w:tc>
        <w:tc>
          <w:tcPr>
            <w:tcW w:w="250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防护绿地名称</w:t>
            </w:r>
          </w:p>
        </w:tc>
        <w:tc>
          <w:tcPr>
            <w:tcW w:w="37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位置</w:t>
            </w:r>
          </w:p>
        </w:tc>
        <w:tc>
          <w:tcPr>
            <w:tcW w:w="157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面积</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合计</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782.23</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河防护带</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白马河水系</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127.00</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河防护带</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泗河水系</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89.70</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河防护带</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东大河水系</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24.80</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河防护带</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城河水系</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37.80</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5</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京沪铁路防护绿带</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京沪铁路两侧</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48.00</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6</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国道防护绿带</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北外环</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33.60</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7</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高压走廊防护绿带</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后葛炉山村</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7.00</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8</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采煤塌陷区</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太平镇、中心店镇、北宿镇</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133.33</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9</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城北防风隔离带</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岗山</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259.00</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10</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西外环</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国宏大道至城前西路</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13.00</w:t>
            </w:r>
          </w:p>
        </w:tc>
      </w:tr>
      <w:tr>
        <w:tblPrEx>
          <w:tblLayout w:type="fixed"/>
          <w:tblCellMar>
            <w:top w:w="0" w:type="dxa"/>
            <w:left w:w="108" w:type="dxa"/>
            <w:bottom w:w="0" w:type="dxa"/>
            <w:right w:w="108" w:type="dxa"/>
          </w:tblCellMar>
        </w:tblPrEx>
        <w:trPr>
          <w:trHeight w:val="270"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11</w:t>
            </w:r>
          </w:p>
        </w:tc>
        <w:tc>
          <w:tcPr>
            <w:tcW w:w="25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北外环</w:t>
            </w:r>
          </w:p>
        </w:tc>
        <w:tc>
          <w:tcPr>
            <w:tcW w:w="374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西外环至崇义路</w:t>
            </w:r>
          </w:p>
        </w:tc>
        <w:tc>
          <w:tcPr>
            <w:tcW w:w="157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9.00</w:t>
            </w:r>
          </w:p>
        </w:tc>
      </w:tr>
    </w:tbl>
    <w:p>
      <w:pPr>
        <w:pStyle w:val="5"/>
      </w:pPr>
      <w:r>
        <w:rPr>
          <w:rFonts w:hint="eastAsia"/>
        </w:rPr>
        <w:t xml:space="preserve">1.15.4 </w:t>
      </w:r>
      <w:r>
        <w:t>支撑材料</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邹城市防护隔离林带统计表</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2017年林业统计年报</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2016年林业统计年报</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邹城市林业局关于鲍店煤矿抑尘绿化整改的通知(邹林字</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18号)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邹城市绿化委员会关于编制煤矿、码头、堆场等重点区域绿化实施方案的通知(邹绿发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2号)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邹城市人民政府办公室关于印发邹城市煤矿、码头、堆场等重点区域绿化抑尘行动实施方案的通知(邹政办公字</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3号)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邹城市林业局关于太平煤矿抑尘绿化整改的通知(邹林字</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19号)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邹城市煤矿、码头、工业园区、堆场等重点区域绿化抑尘行动实施方案</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邹城市绿化委员会关于组织开展矿区、矿场、码头等场所绿化防尘集中治理行动的通知(邹绿发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15号)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中共邹城市委关于印发《邹城市大气污染防治攻坚行动实施方案》的通知(邹发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11号)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邹城市绿化委员会关于2015年主干道路绿化标准的通知(邹绿发</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3号)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邹城市绿化委员会关于印发《邹城市绿色通道建设验收考核办法》的通知(邹绿发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6号)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邹城市绿化委员会关于加快推进2014年绿色通道建设的通知(邹绿发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2号)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邹城市绿化委员会关于切实加强绿色通道管护的通知(邹绿发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18号)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邹城市绿化委员会关于加快崇尚线绿色通道建设的通知(邹绿发</w:t>
      </w:r>
      <w:r>
        <w:rPr>
          <w:rFonts w:hint="eastAsia" w:ascii="Times New Roman" w:hAnsi="Times New Roman" w:eastAsia="华文宋体" w:cs="Times New Roman"/>
          <w:sz w:val="28"/>
          <w:szCs w:val="28"/>
          <w:lang w:eastAsia="zh-CN"/>
        </w:rPr>
        <w:t>﹝2014﹞</w:t>
      </w:r>
      <w:r>
        <w:rPr>
          <w:rFonts w:ascii="Times New Roman" w:hAnsi="Times New Roman" w:eastAsia="华文宋体" w:cs="Times New Roman"/>
          <w:sz w:val="28"/>
          <w:szCs w:val="28"/>
        </w:rPr>
        <w:t>16号)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邹城市人民政府关于进一步加快绿色通道建设的通知(邹政发</w:t>
      </w:r>
      <w:r>
        <w:rPr>
          <w:rFonts w:hint="eastAsia" w:ascii="Times New Roman" w:hAnsi="Times New Roman" w:eastAsia="华文宋体" w:cs="Times New Roman"/>
          <w:sz w:val="28"/>
          <w:szCs w:val="28"/>
          <w:lang w:eastAsia="zh-CN"/>
        </w:rPr>
        <w:t>﹝2012﹞</w:t>
      </w:r>
      <w:r>
        <w:rPr>
          <w:rFonts w:ascii="Times New Roman" w:hAnsi="Times New Roman" w:eastAsia="华文宋体" w:cs="Times New Roman"/>
          <w:sz w:val="28"/>
          <w:szCs w:val="28"/>
        </w:rPr>
        <w:t>4号)</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邹城市水系林业生态保护带建设工程调查规划方案</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邹城市水利局关于全市水系绿化工程建设情况报告</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邹城市水系绿化提升一期工程建设计划表</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邹城市水系绿化提升一期工程完成情况统计表</w:t>
      </w:r>
    </w:p>
    <w:p>
      <w:pPr>
        <w:pStyle w:val="19"/>
        <w:numPr>
          <w:ilvl w:val="0"/>
          <w:numId w:val="16"/>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3"/>
      </w:pPr>
      <w:bookmarkStart w:id="25" w:name="_Toc519373552"/>
      <w:r>
        <w:rPr>
          <w:rFonts w:hint="eastAsia"/>
        </w:rPr>
        <w:t xml:space="preserve">2 </w:t>
      </w:r>
      <w:r>
        <w:t>城市森林健康</w:t>
      </w:r>
      <w:bookmarkEnd w:id="25"/>
    </w:p>
    <w:p>
      <w:pPr>
        <w:pStyle w:val="4"/>
      </w:pPr>
      <w:bookmarkStart w:id="26" w:name="_Toc519373553"/>
      <w:r>
        <w:rPr>
          <w:rFonts w:hint="eastAsia"/>
          <w:sz w:val="28"/>
          <w:szCs w:val="28"/>
        </w:rPr>
        <w:t xml:space="preserve">2.1 </w:t>
      </w:r>
      <w:r>
        <w:t>乡土树种使用</w:t>
      </w:r>
      <w:bookmarkEnd w:id="26"/>
    </w:p>
    <w:p>
      <w:pPr>
        <w:pStyle w:val="5"/>
        <w:rPr>
          <w:sz w:val="30"/>
          <w:szCs w:val="30"/>
        </w:rPr>
      </w:pPr>
      <w:r>
        <w:rPr>
          <w:rFonts w:hint="eastAsia"/>
        </w:rPr>
        <w:t xml:space="preserve">2.1.1 </w:t>
      </w:r>
      <w:r>
        <w:t>指标要求</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植物以乡土树种为主，乡土树种数量占城市绿化树种使用数量的80%以上。</w:t>
      </w:r>
    </w:p>
    <w:p>
      <w:pPr>
        <w:pStyle w:val="5"/>
      </w:pPr>
      <w:r>
        <w:rPr>
          <w:rFonts w:hint="eastAsia"/>
        </w:rPr>
        <w:t xml:space="preserve">2.1.2 </w:t>
      </w:r>
      <w:r>
        <w:t>方法步骤</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对建成区内的各种绿地类型进行抽样调查，调查各样带（样园）树种株数，并逐株判定是否为乡土树种，计算各抽查样本乡土树种株数和比例，计算乡土树种总株数和比例。</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通过统计邹城市建成区的绿化树种及株数，并随机抽样实际调查太平西路、岗山路、西外环、普阳山路、铁山公园、护驾山公园等绿化区域的树种使用情况，计算邹城市城区绿化乡土树种的使用比例。</w:t>
      </w:r>
    </w:p>
    <w:p>
      <w:pPr>
        <w:pStyle w:val="5"/>
        <w:rPr>
          <w:rStyle w:val="29"/>
          <w:b/>
          <w:bCs/>
        </w:rPr>
      </w:pPr>
      <w:r>
        <w:rPr>
          <w:rStyle w:val="29"/>
          <w:rFonts w:hint="eastAsia"/>
          <w:b/>
          <w:bCs/>
        </w:rPr>
        <w:t xml:space="preserve">2.1.3 </w:t>
      </w:r>
      <w:r>
        <w:rPr>
          <w:rStyle w:val="29"/>
          <w:b/>
          <w:bCs/>
        </w:rPr>
        <w:t>自查结果</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创建森林城市以来，邹城市在城市公园建设、园林绿化以及苗木花卉产业基地建设中大力倡导使用乡土树种，把乡土绿化苗木作为首选苗木，重视乡土树种的培育和应用，大幅提高乡土苗木在植物配置中的比例。据调查统计，邹城市应用树种数量153.34万株，其中使用乡土树种130.28万株，乡土树种使用率达到84.96%。邹城市造林绿化主要树种包括法桐、白蜡、栾树、国槐、柳树、皂荚、刺槐、银杏、泡桐等，各镇街乡土树种数量占城市绿化树种使用数量均达到80%以上, 满足国家森林城市的指标要求。</w:t>
      </w:r>
    </w:p>
    <w:tbl>
      <w:tblPr>
        <w:tblStyle w:val="15"/>
        <w:tblW w:w="8528" w:type="dxa"/>
        <w:tblInd w:w="0" w:type="dxa"/>
        <w:tblLayout w:type="fixed"/>
        <w:tblCellMar>
          <w:top w:w="0" w:type="dxa"/>
          <w:left w:w="108" w:type="dxa"/>
          <w:bottom w:w="0" w:type="dxa"/>
          <w:right w:w="108" w:type="dxa"/>
        </w:tblCellMar>
      </w:tblPr>
      <w:tblGrid>
        <w:gridCol w:w="1968"/>
        <w:gridCol w:w="1968"/>
        <w:gridCol w:w="2296"/>
        <w:gridCol w:w="2296"/>
      </w:tblGrid>
      <w:tr>
        <w:tblPrEx>
          <w:tblLayout w:type="fixed"/>
          <w:tblCellMar>
            <w:top w:w="0" w:type="dxa"/>
            <w:left w:w="108" w:type="dxa"/>
            <w:bottom w:w="0" w:type="dxa"/>
            <w:right w:w="108" w:type="dxa"/>
          </w:tblCellMar>
        </w:tblPrEx>
        <w:trPr>
          <w:trHeight w:val="270" w:hRule="atLeast"/>
        </w:trPr>
        <w:tc>
          <w:tcPr>
            <w:tcW w:w="8528" w:type="dxa"/>
            <w:gridSpan w:val="4"/>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表</w:t>
            </w:r>
            <w:r>
              <w:rPr>
                <w:rFonts w:hint="eastAsia" w:ascii="Times New Roman" w:hAnsi="Times New Roman" w:eastAsia="华文宋体" w:cs="Times New Roman"/>
                <w:color w:val="000000"/>
                <w:kern w:val="0"/>
                <w:sz w:val="24"/>
                <w:szCs w:val="24"/>
              </w:rPr>
              <w:t>2.1</w:t>
            </w:r>
            <w:r>
              <w:rPr>
                <w:rFonts w:ascii="Times New Roman" w:hAnsi="Times New Roman" w:eastAsia="华文宋体" w:cs="Times New Roman"/>
                <w:color w:val="000000"/>
                <w:kern w:val="0"/>
                <w:sz w:val="24"/>
                <w:szCs w:val="24"/>
              </w:rPr>
              <w:t>-1   邹城市城区绿化乡土树种使用统计表</w:t>
            </w:r>
          </w:p>
        </w:tc>
      </w:tr>
      <w:tr>
        <w:tblPrEx>
          <w:tblLayout w:type="fixed"/>
          <w:tblCellMar>
            <w:top w:w="0" w:type="dxa"/>
            <w:left w:w="108" w:type="dxa"/>
            <w:bottom w:w="0" w:type="dxa"/>
            <w:right w:w="108" w:type="dxa"/>
          </w:tblCellMar>
        </w:tblPrEx>
        <w:trPr>
          <w:trHeight w:val="270" w:hRule="atLeast"/>
        </w:trPr>
        <w:tc>
          <w:tcPr>
            <w:tcW w:w="1968"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4592" w:type="dxa"/>
            <w:gridSpan w:val="2"/>
            <w:tcBorders>
              <w:top w:val="nil"/>
              <w:left w:val="nil"/>
              <w:bottom w:val="nil"/>
              <w:right w:val="nil"/>
            </w:tcBorders>
            <w:shd w:val="clear" w:color="auto" w:fill="auto"/>
            <w:vAlign w:val="center"/>
          </w:tcPr>
          <w:p>
            <w:pPr>
              <w:widowControl/>
              <w:jc w:val="right"/>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单位：万株、%</w:t>
            </w:r>
          </w:p>
        </w:tc>
      </w:tr>
      <w:tr>
        <w:tblPrEx>
          <w:tblLayout w:type="fixed"/>
          <w:tblCellMar>
            <w:top w:w="0" w:type="dxa"/>
            <w:left w:w="108" w:type="dxa"/>
            <w:bottom w:w="0" w:type="dxa"/>
            <w:right w:w="108" w:type="dxa"/>
          </w:tblCellMar>
        </w:tblPrEx>
        <w:trPr>
          <w:trHeight w:val="270" w:hRule="atLeast"/>
        </w:trPr>
        <w:tc>
          <w:tcPr>
            <w:tcW w:w="39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bCs/>
                <w:color w:val="000000"/>
                <w:kern w:val="0"/>
                <w:sz w:val="24"/>
                <w:szCs w:val="24"/>
              </w:rPr>
            </w:pPr>
            <w:r>
              <w:rPr>
                <w:rFonts w:ascii="Times New Roman" w:hAnsi="Times New Roman" w:eastAsia="华文宋体" w:cs="Times New Roman"/>
                <w:b/>
                <w:bCs/>
                <w:color w:val="000000"/>
                <w:kern w:val="0"/>
                <w:sz w:val="24"/>
                <w:szCs w:val="24"/>
              </w:rPr>
              <w:t>种</w:t>
            </w:r>
          </w:p>
        </w:tc>
        <w:tc>
          <w:tcPr>
            <w:tcW w:w="229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bCs/>
                <w:color w:val="000000"/>
                <w:kern w:val="0"/>
                <w:sz w:val="24"/>
                <w:szCs w:val="24"/>
              </w:rPr>
            </w:pPr>
            <w:r>
              <w:rPr>
                <w:rFonts w:ascii="Times New Roman" w:hAnsi="Times New Roman" w:eastAsia="华文宋体" w:cs="Times New Roman"/>
                <w:b/>
                <w:bCs/>
                <w:color w:val="000000"/>
                <w:kern w:val="0"/>
                <w:sz w:val="24"/>
                <w:szCs w:val="24"/>
              </w:rPr>
              <w:t>株数</w:t>
            </w:r>
          </w:p>
        </w:tc>
        <w:tc>
          <w:tcPr>
            <w:tcW w:w="229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bCs/>
                <w:color w:val="000000"/>
                <w:kern w:val="0"/>
                <w:sz w:val="24"/>
                <w:szCs w:val="24"/>
              </w:rPr>
            </w:pPr>
            <w:r>
              <w:rPr>
                <w:rFonts w:ascii="Times New Roman" w:hAnsi="Times New Roman" w:eastAsia="华文宋体" w:cs="Times New Roman"/>
                <w:b/>
                <w:bCs/>
                <w:color w:val="000000"/>
                <w:kern w:val="0"/>
                <w:sz w:val="24"/>
                <w:szCs w:val="24"/>
              </w:rPr>
              <w:t>比例</w:t>
            </w:r>
          </w:p>
        </w:tc>
      </w:tr>
      <w:tr>
        <w:tblPrEx>
          <w:tblLayout w:type="fixed"/>
          <w:tblCellMar>
            <w:top w:w="0" w:type="dxa"/>
            <w:left w:w="108" w:type="dxa"/>
            <w:bottom w:w="0" w:type="dxa"/>
            <w:right w:w="108" w:type="dxa"/>
          </w:tblCellMar>
        </w:tblPrEx>
        <w:trPr>
          <w:trHeight w:val="270" w:hRule="atLeast"/>
        </w:trPr>
        <w:tc>
          <w:tcPr>
            <w:tcW w:w="39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bCs/>
                <w:color w:val="000000"/>
                <w:kern w:val="0"/>
                <w:sz w:val="24"/>
                <w:szCs w:val="24"/>
              </w:rPr>
            </w:pPr>
            <w:r>
              <w:rPr>
                <w:rFonts w:ascii="Times New Roman" w:hAnsi="Times New Roman" w:eastAsia="华文宋体" w:cs="Times New Roman"/>
                <w:b/>
                <w:bCs/>
                <w:color w:val="000000"/>
                <w:kern w:val="0"/>
                <w:sz w:val="24"/>
                <w:szCs w:val="24"/>
              </w:rPr>
              <w:t>总计</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bCs/>
                <w:color w:val="000000"/>
                <w:kern w:val="0"/>
                <w:sz w:val="24"/>
                <w:szCs w:val="24"/>
              </w:rPr>
            </w:pPr>
            <w:r>
              <w:rPr>
                <w:rFonts w:ascii="Times New Roman" w:hAnsi="Times New Roman" w:eastAsia="华文宋体" w:cs="Times New Roman"/>
                <w:b/>
                <w:bCs/>
                <w:color w:val="000000"/>
                <w:kern w:val="0"/>
                <w:sz w:val="24"/>
                <w:szCs w:val="24"/>
              </w:rPr>
              <w:t>153.34</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b/>
                <w:bCs/>
                <w:color w:val="000000"/>
                <w:kern w:val="0"/>
                <w:sz w:val="24"/>
                <w:szCs w:val="24"/>
              </w:rPr>
            </w:pPr>
            <w:r>
              <w:rPr>
                <w:rFonts w:ascii="Times New Roman" w:hAnsi="Times New Roman" w:eastAsia="华文宋体" w:cs="Times New Roman"/>
                <w:b/>
                <w:bCs/>
                <w:color w:val="000000"/>
                <w:kern w:val="0"/>
                <w:sz w:val="24"/>
                <w:szCs w:val="24"/>
              </w:rPr>
              <w:t>100</w:t>
            </w:r>
          </w:p>
        </w:tc>
      </w:tr>
      <w:tr>
        <w:tblPrEx>
          <w:tblLayout w:type="fixed"/>
          <w:tblCellMar>
            <w:top w:w="0" w:type="dxa"/>
            <w:left w:w="108" w:type="dxa"/>
            <w:bottom w:w="0" w:type="dxa"/>
            <w:right w:w="108" w:type="dxa"/>
          </w:tblCellMar>
        </w:tblPrEx>
        <w:trPr>
          <w:trHeight w:val="450" w:hRule="atLeast"/>
        </w:trPr>
        <w:tc>
          <w:tcPr>
            <w:tcW w:w="196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乡土树种</w:t>
            </w: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全部乡土树种</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130.28</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84.96</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法桐</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13.63</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8.89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白蜡</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3.92</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2.56</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栾树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7.41</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4.83</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国槐</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6.58</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4.29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柳树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4.95</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3.25</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皂荚</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6.58</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4.29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苦楝</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7.96</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5.19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刺槐</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7.41</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4.83</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银杏</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2.22</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1.45</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泡桐</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0.59</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0.38</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乌桕</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0.81</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0.53</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楸树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7.23</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4.72</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桑树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3.55</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2.32</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梓树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0.25</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0.16</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核桃</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0.63</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0.41</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构树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6.42</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4.19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千头椿</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1.15</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0.75</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榆树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2.34</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1.53</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梨</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1.49</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0.97</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柿树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4.95</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3.23</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山楂</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0.37</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0.24</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朴树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4.01</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2.6</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鸡爪槭</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1.42</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0.93</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五角枫</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1.38</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毛白杨</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1.91</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1.25</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石榴</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1.83</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1.19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火炬树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2.06</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1.34</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黄栌</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3.16</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2.06</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木槿</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6.37</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4.15</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枫杨</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0.75</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0.49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合欢</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1.37</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0.89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桧柏</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6.21</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4.05</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黑松</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3.21</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2.09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圆柏</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3.47</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2.26</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侧柏</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2.69</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1.75</w:t>
            </w:r>
          </w:p>
        </w:tc>
      </w:tr>
      <w:tr>
        <w:tblPrEx>
          <w:tblLayout w:type="fixed"/>
          <w:tblCellMar>
            <w:top w:w="0" w:type="dxa"/>
            <w:left w:w="108" w:type="dxa"/>
            <w:bottom w:w="0" w:type="dxa"/>
            <w:right w:w="108" w:type="dxa"/>
          </w:tblCellMar>
        </w:tblPrEx>
        <w:trPr>
          <w:trHeight w:val="450" w:hRule="atLeast"/>
        </w:trPr>
        <w:tc>
          <w:tcPr>
            <w:tcW w:w="196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外来树种</w:t>
            </w: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全部外来树种</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23.06</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15.04</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雪松</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3.77</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2.46</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大叶女贞</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2.74</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1.79</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马褂木</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0.78</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0.51</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广玉兰</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1.34</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0.87</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红玉兰</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1.26</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0.82</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白玉兰</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1.33</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0.87</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枇杷</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0.12</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0.08</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红叶石楠</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5.44</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3.55</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水杉</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0.79</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0.52</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桂花</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0.85</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0.55</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青桐</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0.63</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0.41</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白皮松</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2.64</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1.72</w:t>
            </w:r>
          </w:p>
        </w:tc>
      </w:tr>
      <w:tr>
        <w:tblPrEx>
          <w:tblLayout w:type="fixed"/>
          <w:tblCellMar>
            <w:top w:w="0" w:type="dxa"/>
            <w:left w:w="108" w:type="dxa"/>
            <w:bottom w:w="0" w:type="dxa"/>
            <w:right w:w="108" w:type="dxa"/>
          </w:tblCellMar>
        </w:tblPrEx>
        <w:trPr>
          <w:trHeight w:val="270" w:hRule="atLeast"/>
        </w:trPr>
        <w:tc>
          <w:tcPr>
            <w:tcW w:w="19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华文宋体" w:cs="Times New Roman"/>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七叶树</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1.37</w:t>
            </w:r>
          </w:p>
        </w:tc>
        <w:tc>
          <w:tcPr>
            <w:tcW w:w="229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0.89</w:t>
            </w:r>
          </w:p>
        </w:tc>
      </w:tr>
    </w:tbl>
    <w:p>
      <w:pPr>
        <w:pStyle w:val="5"/>
      </w:pPr>
      <w:r>
        <w:rPr>
          <w:rFonts w:hint="eastAsia"/>
        </w:rPr>
        <w:t xml:space="preserve">2.1.4 </w:t>
      </w:r>
      <w:r>
        <w:t>支撑材料</w:t>
      </w:r>
    </w:p>
    <w:p>
      <w:pPr>
        <w:numPr>
          <w:ilvl w:val="0"/>
          <w:numId w:val="17"/>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pStyle w:val="19"/>
        <w:numPr>
          <w:ilvl w:val="0"/>
          <w:numId w:val="17"/>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邹城市城区绿化乡土树种使用统计表</w:t>
      </w:r>
    </w:p>
    <w:p>
      <w:pPr>
        <w:pStyle w:val="19"/>
        <w:numPr>
          <w:ilvl w:val="0"/>
          <w:numId w:val="17"/>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邹城市城区绿化树种抽样调查统计表</w:t>
      </w:r>
    </w:p>
    <w:p>
      <w:pPr>
        <w:pStyle w:val="19"/>
        <w:numPr>
          <w:ilvl w:val="0"/>
          <w:numId w:val="17"/>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邹城市乡土树种名录</w:t>
      </w:r>
    </w:p>
    <w:p>
      <w:pPr>
        <w:pStyle w:val="19"/>
        <w:numPr>
          <w:ilvl w:val="0"/>
          <w:numId w:val="17"/>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27" w:name="_Toc519373554"/>
      <w:r>
        <w:rPr>
          <w:rFonts w:hint="eastAsia"/>
          <w:sz w:val="28"/>
          <w:szCs w:val="28"/>
        </w:rPr>
        <w:t xml:space="preserve">2.2 </w:t>
      </w:r>
      <w:r>
        <w:t>树种丰富度</w:t>
      </w:r>
      <w:bookmarkEnd w:id="27"/>
    </w:p>
    <w:p>
      <w:pPr>
        <w:pStyle w:val="5"/>
      </w:pPr>
      <w:r>
        <w:rPr>
          <w:rFonts w:hint="eastAsia"/>
        </w:rPr>
        <w:t xml:space="preserve">2.2.1 </w:t>
      </w:r>
      <w:r>
        <w:t>指标要求</w:t>
      </w:r>
    </w:p>
    <w:p>
      <w:pPr>
        <w:pStyle w:val="19"/>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城市森林树种丰富多样，城区某一个树种的栽植数量不超过树木总数量的20％。</w:t>
      </w:r>
    </w:p>
    <w:p>
      <w:pPr>
        <w:pStyle w:val="5"/>
      </w:pPr>
      <w:r>
        <w:rPr>
          <w:rFonts w:hint="eastAsia"/>
        </w:rPr>
        <w:t xml:space="preserve">2.2.2 </w:t>
      </w:r>
      <w:r>
        <w:t>方法步骤</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在邹城市建成区选取具有代表性和典型性的公园、小游园、街边绿地、道路等绿地类型设置3-5 条样带（样园），详细调查每个样本树种的栽植数量，并计算每个树种的栽植数量占样本总数量的比例。通过随机抽样调查太平西路、岗山路、西外环、普阳山路、铁山公园、护驾山公园等绿化区域的树种使用情况，计算邹城市城区绿化树种丰富度。</w:t>
      </w:r>
    </w:p>
    <w:p>
      <w:pPr>
        <w:pStyle w:val="5"/>
      </w:pPr>
      <w:r>
        <w:rPr>
          <w:rFonts w:hint="eastAsia"/>
        </w:rPr>
        <w:t xml:space="preserve">2.2.3 </w:t>
      </w:r>
      <w:r>
        <w:t>自查结果</w:t>
      </w:r>
    </w:p>
    <w:p>
      <w:pPr>
        <w:pStyle w:val="19"/>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达标。在城市绿化过程中，邹城市充分利用木本植物丰富的优势，大量应用乔木树种，并且考虑苗木形态与种植空间的组合，根据不同植物的形态、质感与色彩进行搭配，提高树种丰富度。中心城区绿化主要应用的树种达到30余种，其中使用比例较高的有法桐（13.21%），白蜡（9.76%），柳树（8.71%），栾树（7.18%），圆柏（7.10%），国槐（6.79%），桧柏（6.30%），侧柏（5.70%），朴树（4.33%），</w:t>
      </w:r>
      <w:r>
        <w:rPr>
          <w:rFonts w:ascii="Times New Roman" w:hAnsi="Times New Roman" w:eastAsia="华文宋体" w:cs="Times New Roman"/>
          <w:color w:val="FF0000"/>
          <w:sz w:val="28"/>
          <w:szCs w:val="28"/>
        </w:rPr>
        <w:t>皂</w:t>
      </w:r>
      <w:r>
        <w:rPr>
          <w:rFonts w:hint="eastAsia" w:ascii="Times New Roman" w:hAnsi="Times New Roman" w:eastAsia="华文宋体" w:cs="Times New Roman"/>
          <w:color w:val="FF0000"/>
          <w:sz w:val="28"/>
          <w:szCs w:val="28"/>
          <w:lang w:val="en-US" w:eastAsia="zh-CN"/>
        </w:rPr>
        <w:t>荚</w:t>
      </w:r>
      <w:r>
        <w:rPr>
          <w:rFonts w:ascii="Times New Roman" w:hAnsi="Times New Roman" w:eastAsia="华文宋体" w:cs="Times New Roman"/>
          <w:sz w:val="28"/>
          <w:szCs w:val="28"/>
        </w:rPr>
        <w:t>（2.34%）等。城区中树种的栽植数量均不超过总数量的20%。符合《国家森林城市评价指标》的要求。</w:t>
      </w:r>
    </w:p>
    <w:p>
      <w:r>
        <w:br w:type="page"/>
      </w:r>
    </w:p>
    <w:tbl>
      <w:tblPr>
        <w:tblStyle w:val="15"/>
        <w:tblW w:w="8528" w:type="dxa"/>
        <w:tblInd w:w="0" w:type="dxa"/>
        <w:tblLayout w:type="fixed"/>
        <w:tblCellMar>
          <w:top w:w="0" w:type="dxa"/>
          <w:left w:w="108" w:type="dxa"/>
          <w:bottom w:w="0" w:type="dxa"/>
          <w:right w:w="108" w:type="dxa"/>
        </w:tblCellMar>
      </w:tblPr>
      <w:tblGrid>
        <w:gridCol w:w="814"/>
        <w:gridCol w:w="1115"/>
        <w:gridCol w:w="6599"/>
      </w:tblGrid>
      <w:tr>
        <w:tblPrEx>
          <w:tblLayout w:type="fixed"/>
          <w:tblCellMar>
            <w:top w:w="0" w:type="dxa"/>
            <w:left w:w="108" w:type="dxa"/>
            <w:bottom w:w="0" w:type="dxa"/>
            <w:right w:w="108" w:type="dxa"/>
          </w:tblCellMar>
        </w:tblPrEx>
        <w:trPr>
          <w:cantSplit/>
          <w:trHeight w:val="390" w:hRule="atLeast"/>
        </w:trPr>
        <w:tc>
          <w:tcPr>
            <w:tcW w:w="8528" w:type="dxa"/>
            <w:gridSpan w:val="3"/>
            <w:tcBorders>
              <w:top w:val="nil"/>
              <w:left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表</w:t>
            </w:r>
            <w:r>
              <w:rPr>
                <w:rFonts w:hint="eastAsia" w:ascii="Times New Roman" w:hAnsi="Times New Roman" w:eastAsia="华文宋体" w:cs="Times New Roman"/>
                <w:color w:val="000000"/>
                <w:kern w:val="0"/>
                <w:sz w:val="24"/>
                <w:szCs w:val="24"/>
              </w:rPr>
              <w:t>2.2</w:t>
            </w:r>
            <w:r>
              <w:rPr>
                <w:rFonts w:ascii="Times New Roman" w:hAnsi="Times New Roman" w:eastAsia="华文宋体" w:cs="Times New Roman"/>
                <w:color w:val="000000"/>
                <w:kern w:val="0"/>
                <w:sz w:val="24"/>
                <w:szCs w:val="24"/>
              </w:rPr>
              <w:t>-1   邹城市城区绿化树种丰富度统计表</w:t>
            </w:r>
          </w:p>
        </w:tc>
      </w:tr>
      <w:tr>
        <w:tblPrEx>
          <w:tblLayout w:type="fixed"/>
          <w:tblCellMar>
            <w:top w:w="0" w:type="dxa"/>
            <w:left w:w="108" w:type="dxa"/>
            <w:bottom w:w="0" w:type="dxa"/>
            <w:right w:w="108" w:type="dxa"/>
          </w:tblCellMar>
        </w:tblPrEx>
        <w:trPr>
          <w:cantSplit/>
          <w:trHeight w:val="390" w:hRule="atLeast"/>
        </w:trPr>
        <w:tc>
          <w:tcPr>
            <w:tcW w:w="8528" w:type="dxa"/>
            <w:gridSpan w:val="3"/>
            <w:tcBorders>
              <w:top w:val="nil"/>
              <w:left w:val="nil"/>
              <w:bottom w:val="single" w:color="auto" w:sz="4" w:space="0"/>
              <w:right w:val="nil"/>
            </w:tcBorders>
            <w:shd w:val="clear" w:color="auto" w:fill="auto"/>
            <w:vAlign w:val="center"/>
          </w:tcPr>
          <w:p>
            <w:pPr>
              <w:widowControl/>
              <w:jc w:val="right"/>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单位：%</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序号</w:t>
            </w:r>
          </w:p>
        </w:tc>
        <w:tc>
          <w:tcPr>
            <w:tcW w:w="11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树种</w:t>
            </w:r>
          </w:p>
        </w:tc>
        <w:tc>
          <w:tcPr>
            <w:tcW w:w="659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该树种栽植数量占栽植树木总量的比例</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b/>
                <w:color w:val="000000"/>
                <w:sz w:val="24"/>
                <w:szCs w:val="24"/>
              </w:rPr>
            </w:pP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总计</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100</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法桐</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13.21</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白蜡</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9.76</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柳树</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8.71</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栾树</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7.18</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圆柏</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7.1</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6</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国槐</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6.79</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7</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桧柏</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6.3</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8</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侧柏</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5.7</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9</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朴树</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4.33</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10</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皂</w:t>
            </w:r>
            <w:r>
              <w:rPr>
                <w:rFonts w:ascii="Times New Roman" w:hAnsi="Times New Roman" w:cs="Times New Roman"/>
                <w:color w:val="000000"/>
                <w:sz w:val="24"/>
                <w:szCs w:val="24"/>
              </w:rPr>
              <w:t>荚</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2.34</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11</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柿树</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1.94</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12</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红枫</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1.93</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13</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cs="Times New Roman"/>
                <w:color w:val="000000"/>
                <w:sz w:val="24"/>
                <w:szCs w:val="24"/>
              </w:rPr>
              <w:t>苦</w:t>
            </w:r>
            <w:r>
              <w:rPr>
                <w:rFonts w:ascii="Times New Roman" w:hAnsi="Times New Roman" w:eastAsia="宋体" w:cs="Times New Roman"/>
                <w:color w:val="000000"/>
                <w:sz w:val="24"/>
                <w:szCs w:val="24"/>
              </w:rPr>
              <w:t>楝</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1.74</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14</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五角枫</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1.62</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15</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楸树</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1.58</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16</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鸡爪槭</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1.51</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17</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火炬</w:t>
            </w:r>
            <w:r>
              <w:rPr>
                <w:rFonts w:ascii="Times New Roman" w:hAnsi="Times New Roman" w:cs="Times New Roman"/>
                <w:color w:val="000000"/>
                <w:sz w:val="24"/>
                <w:szCs w:val="24"/>
              </w:rPr>
              <w:t>树</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1.21</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18</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桑树</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1.16</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19</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银杏</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1.13</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20</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海棠</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0.97</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21</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榆树</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0.91</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22</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枣树</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0.86</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23</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石榴</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0.85</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24</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梓树</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0.79</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25</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cs="Times New Roman"/>
                <w:color w:val="000000"/>
                <w:sz w:val="24"/>
                <w:szCs w:val="24"/>
              </w:rPr>
              <w:t>乌桕</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0.75</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26</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黄栌</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0.73</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27</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刺槐</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0.71</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28</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梨</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0.64</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29</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合欢</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0.62</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30</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千头椿</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0.54</w:t>
            </w:r>
          </w:p>
        </w:tc>
      </w:tr>
      <w:tr>
        <w:tblPrEx>
          <w:tblLayout w:type="fixed"/>
          <w:tblCellMar>
            <w:top w:w="0" w:type="dxa"/>
            <w:left w:w="108" w:type="dxa"/>
            <w:bottom w:w="0" w:type="dxa"/>
            <w:right w:w="108" w:type="dxa"/>
          </w:tblCellMar>
        </w:tblPrEx>
        <w:trPr>
          <w:cantSplit/>
          <w:trHeight w:val="567" w:hRule="exact"/>
        </w:trPr>
        <w:tc>
          <w:tcPr>
            <w:tcW w:w="814"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31</w:t>
            </w:r>
          </w:p>
        </w:tc>
        <w:tc>
          <w:tcPr>
            <w:tcW w:w="1115"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泡桐</w:t>
            </w:r>
          </w:p>
        </w:tc>
        <w:tc>
          <w:tcPr>
            <w:tcW w:w="6599"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0.33</w:t>
            </w:r>
          </w:p>
        </w:tc>
      </w:tr>
      <w:tr>
        <w:tblPrEx>
          <w:tblLayout w:type="fixed"/>
          <w:tblCellMar>
            <w:top w:w="0" w:type="dxa"/>
            <w:left w:w="108" w:type="dxa"/>
            <w:bottom w:w="0" w:type="dxa"/>
            <w:right w:w="108" w:type="dxa"/>
          </w:tblCellMar>
        </w:tblPrEx>
        <w:trPr>
          <w:cantSplit/>
          <w:trHeight w:val="567" w:hRule="exac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32</w:t>
            </w:r>
          </w:p>
        </w:tc>
        <w:tc>
          <w:tcPr>
            <w:tcW w:w="111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核桃</w:t>
            </w:r>
          </w:p>
        </w:tc>
        <w:tc>
          <w:tcPr>
            <w:tcW w:w="6599"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0.33</w:t>
            </w:r>
          </w:p>
        </w:tc>
      </w:tr>
      <w:tr>
        <w:tblPrEx>
          <w:tblLayout w:type="fixed"/>
          <w:tblCellMar>
            <w:top w:w="0" w:type="dxa"/>
            <w:left w:w="108" w:type="dxa"/>
            <w:bottom w:w="0" w:type="dxa"/>
            <w:right w:w="108" w:type="dxa"/>
          </w:tblCellMar>
        </w:tblPrEx>
        <w:trPr>
          <w:cantSplit/>
          <w:trHeight w:val="567" w:hRule="exact"/>
        </w:trPr>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33</w:t>
            </w:r>
          </w:p>
        </w:tc>
        <w:tc>
          <w:tcPr>
            <w:tcW w:w="1115"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其他</w:t>
            </w:r>
          </w:p>
        </w:tc>
        <w:tc>
          <w:tcPr>
            <w:tcW w:w="6599"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5.73</w:t>
            </w:r>
          </w:p>
        </w:tc>
      </w:tr>
    </w:tbl>
    <w:p>
      <w:pPr>
        <w:pStyle w:val="5"/>
      </w:pPr>
      <w:r>
        <w:rPr>
          <w:rFonts w:hint="eastAsia"/>
        </w:rPr>
        <w:t xml:space="preserve">2.2.4 </w:t>
      </w:r>
      <w:r>
        <w:t>支撑材料</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邹城市城区绿化树种丰富度统计表</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山东省林业厅关于开展省级林木种质资源库确定和推荐申报国家林木种质资源库工作的通知（鲁林种质字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64号）</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邹城市种质资源名录</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邹城市乡土树种名录</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邹城市万亩荒山绿化示范工程实施方案</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山东省邹城林业生态文明示范区建设总体规划</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省调查办开展种质资源调查绩效考核工作</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山东省林业厅关于印发《山东省林木种质资源调查绩效考核办法》的通知（鲁林种质字</w:t>
      </w:r>
      <w:r>
        <w:rPr>
          <w:rFonts w:hint="eastAsia" w:ascii="Times New Roman" w:hAnsi="Times New Roman" w:eastAsia="华文宋体" w:cs="Times New Roman"/>
          <w:sz w:val="28"/>
          <w:szCs w:val="28"/>
          <w:lang w:eastAsia="zh-CN"/>
        </w:rPr>
        <w:t>﹝2012﹞</w:t>
      </w:r>
      <w:r>
        <w:rPr>
          <w:rFonts w:ascii="Times New Roman" w:hAnsi="Times New Roman" w:eastAsia="华文宋体" w:cs="Times New Roman"/>
          <w:sz w:val="28"/>
          <w:szCs w:val="28"/>
        </w:rPr>
        <w:t>112号）</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济宁市林业局关于做好林木种质资源调查工作的通知（济林种函字</w:t>
      </w:r>
      <w:r>
        <w:rPr>
          <w:rFonts w:hint="eastAsia" w:ascii="Times New Roman" w:hAnsi="Times New Roman" w:eastAsia="华文宋体" w:cs="Times New Roman"/>
          <w:sz w:val="28"/>
          <w:szCs w:val="28"/>
          <w:lang w:eastAsia="zh-CN"/>
        </w:rPr>
        <w:t>﹝2012﹞</w:t>
      </w:r>
      <w:r>
        <w:rPr>
          <w:rFonts w:ascii="Times New Roman" w:hAnsi="Times New Roman" w:eastAsia="华文宋体" w:cs="Times New Roman"/>
          <w:sz w:val="28"/>
          <w:szCs w:val="28"/>
        </w:rPr>
        <w:t>2号）</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山东省林业厅关于召开林木种质资源数据采集软件使用培训会议的通知（鲁林种质字</w:t>
      </w:r>
      <w:r>
        <w:rPr>
          <w:rFonts w:hint="eastAsia" w:ascii="Times New Roman" w:hAnsi="Times New Roman" w:eastAsia="华文宋体" w:cs="Times New Roman"/>
          <w:sz w:val="28"/>
          <w:szCs w:val="28"/>
          <w:lang w:eastAsia="zh-CN"/>
        </w:rPr>
        <w:t>﹝2012﹞</w:t>
      </w:r>
      <w:r>
        <w:rPr>
          <w:rFonts w:ascii="Times New Roman" w:hAnsi="Times New Roman" w:eastAsia="华文宋体" w:cs="Times New Roman"/>
          <w:sz w:val="28"/>
          <w:szCs w:val="28"/>
        </w:rPr>
        <w:t>426号）</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邹城市林业局关于成立林木种质资源调查领导小组和业务调查组的通知（邹林字</w:t>
      </w:r>
      <w:r>
        <w:rPr>
          <w:rFonts w:hint="eastAsia" w:ascii="Times New Roman" w:hAnsi="Times New Roman" w:eastAsia="华文宋体" w:cs="Times New Roman"/>
          <w:sz w:val="28"/>
          <w:szCs w:val="28"/>
          <w:lang w:eastAsia="zh-CN"/>
        </w:rPr>
        <w:t>﹝2011﹞</w:t>
      </w:r>
      <w:r>
        <w:rPr>
          <w:rFonts w:ascii="Times New Roman" w:hAnsi="Times New Roman" w:eastAsia="华文宋体" w:cs="Times New Roman"/>
          <w:sz w:val="28"/>
          <w:szCs w:val="28"/>
        </w:rPr>
        <w:t>42号）</w:t>
      </w:r>
    </w:p>
    <w:p>
      <w:pPr>
        <w:numPr>
          <w:ilvl w:val="0"/>
          <w:numId w:val="18"/>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28" w:name="_Toc519373555"/>
      <w:r>
        <w:rPr>
          <w:rFonts w:hint="eastAsia"/>
          <w:sz w:val="28"/>
          <w:szCs w:val="28"/>
        </w:rPr>
        <w:t xml:space="preserve">2.3 </w:t>
      </w:r>
      <w:r>
        <w:t>郊区森林自然度</w:t>
      </w:r>
      <w:bookmarkEnd w:id="28"/>
    </w:p>
    <w:p>
      <w:pPr>
        <w:pStyle w:val="5"/>
      </w:pPr>
      <w:r>
        <w:rPr>
          <w:rFonts w:hint="eastAsia"/>
        </w:rPr>
        <w:t xml:space="preserve">2.3.1 </w:t>
      </w:r>
      <w:r>
        <w:t>指标要求</w:t>
      </w:r>
    </w:p>
    <w:p>
      <w:pPr>
        <w:spacing w:line="360" w:lineRule="auto"/>
        <w:ind w:firstLine="566"/>
        <w:rPr>
          <w:rFonts w:ascii="Times New Roman" w:hAnsi="Times New Roman" w:eastAsia="华文宋体" w:cs="Times New Roman"/>
          <w:sz w:val="28"/>
          <w:szCs w:val="28"/>
        </w:rPr>
      </w:pPr>
      <w:r>
        <w:rPr>
          <w:rFonts w:ascii="Times New Roman" w:hAnsi="Times New Roman" w:eastAsia="华文宋体" w:cs="Times New Roman"/>
          <w:sz w:val="28"/>
          <w:szCs w:val="28"/>
        </w:rPr>
        <w:t>郊区森林质量不断提高，森林植物群落演替自然，其自然度不应低于0.5。</w:t>
      </w:r>
    </w:p>
    <w:p>
      <w:pPr>
        <w:pStyle w:val="5"/>
      </w:pPr>
      <w:r>
        <w:rPr>
          <w:rFonts w:hint="eastAsia"/>
        </w:rPr>
        <w:t xml:space="preserve">2.3.2 </w:t>
      </w:r>
      <w:r>
        <w:t>方法步骤</w:t>
      </w:r>
    </w:p>
    <w:p>
      <w:pPr>
        <w:pStyle w:val="19"/>
        <w:spacing w:line="360" w:lineRule="auto"/>
        <w:ind w:firstLine="566"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根据林业二类资源调查数据计算。</w:t>
      </w:r>
    </w:p>
    <w:p>
      <w:pPr>
        <w:pStyle w:val="19"/>
        <w:spacing w:line="360" w:lineRule="auto"/>
        <w:ind w:firstLine="566"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郊区森林自然度计算方法为：</w:t>
      </w:r>
      <m:oMath>
        <m:r>
          <m:rPr>
            <m:sty m:val="p"/>
          </m:rPr>
          <w:rPr>
            <w:rFonts w:ascii="Cambria Math" w:hAnsi="Cambria Math" w:eastAsia="华文宋体" w:cs="Times New Roman"/>
            <w:sz w:val="28"/>
            <w:szCs w:val="28"/>
          </w:rPr>
          <m:t>N=</m:t>
        </m:r>
        <m:nary>
          <m:naryPr>
            <m:chr m:val="∑"/>
            <m:limLoc m:val="undOvr"/>
            <m:ctrlPr>
              <w:rPr>
                <w:rFonts w:ascii="Cambria Math" w:hAnsi="Cambria Math" w:eastAsia="华文宋体" w:cs="Times New Roman"/>
                <w:sz w:val="28"/>
                <w:szCs w:val="28"/>
              </w:rPr>
            </m:ctrlPr>
          </m:naryPr>
          <m:sub>
            <m:r>
              <m:rPr>
                <m:sty m:val="p"/>
              </m:rPr>
              <w:rPr>
                <w:rFonts w:ascii="Cambria Math" w:hAnsi="Cambria Math" w:eastAsia="华文宋体" w:cs="Times New Roman"/>
                <w:sz w:val="28"/>
                <w:szCs w:val="28"/>
              </w:rPr>
              <m:t>i=1</m:t>
            </m:r>
            <m:ctrlPr>
              <w:rPr>
                <w:rFonts w:ascii="Cambria Math" w:hAnsi="Cambria Math" w:eastAsia="华文宋体" w:cs="Times New Roman"/>
                <w:sz w:val="28"/>
                <w:szCs w:val="28"/>
              </w:rPr>
            </m:ctrlPr>
          </m:sub>
          <m:sup>
            <m:r>
              <m:rPr>
                <m:sty m:val="p"/>
              </m:rPr>
              <w:rPr>
                <w:rFonts w:ascii="Cambria Math" w:hAnsi="Cambria Math" w:eastAsia="华文宋体" w:cs="Times New Roman"/>
                <w:sz w:val="28"/>
                <w:szCs w:val="28"/>
              </w:rPr>
              <m:t>V</m:t>
            </m:r>
            <m:ctrlPr>
              <w:rPr>
                <w:rFonts w:ascii="Cambria Math" w:hAnsi="Cambria Math" w:eastAsia="华文宋体" w:cs="Times New Roman"/>
                <w:sz w:val="28"/>
                <w:szCs w:val="28"/>
              </w:rPr>
            </m:ctrlPr>
          </m:sup>
          <m:e>
            <m:sSub>
              <m:sSubPr>
                <m:ctrlPr>
                  <w:rPr>
                    <w:rFonts w:ascii="Cambria Math" w:hAnsi="Cambria Math" w:eastAsia="华文宋体" w:cs="Times New Roman"/>
                    <w:sz w:val="28"/>
                    <w:szCs w:val="28"/>
                  </w:rPr>
                </m:ctrlPr>
              </m:sSubPr>
              <m:e>
                <m:r>
                  <m:rPr>
                    <m:sty m:val="p"/>
                  </m:rPr>
                  <w:rPr>
                    <w:rFonts w:ascii="Cambria Math" w:hAnsi="Cambria Math" w:eastAsia="华文宋体" w:cs="Times New Roman"/>
                    <w:sz w:val="28"/>
                    <w:szCs w:val="28"/>
                  </w:rPr>
                  <m:t>M</m:t>
                </m:r>
                <m:ctrlPr>
                  <w:rPr>
                    <w:rFonts w:ascii="Cambria Math" w:hAnsi="Cambria Math" w:eastAsia="华文宋体" w:cs="Times New Roman"/>
                    <w:sz w:val="28"/>
                    <w:szCs w:val="28"/>
                  </w:rPr>
                </m:ctrlPr>
              </m:e>
              <m:sub>
                <m:r>
                  <m:rPr>
                    <m:sty m:val="p"/>
                  </m:rPr>
                  <w:rPr>
                    <w:rFonts w:ascii="Cambria Math" w:hAnsi="Cambria Math" w:eastAsia="华文宋体" w:cs="Times New Roman"/>
                    <w:sz w:val="28"/>
                    <w:szCs w:val="28"/>
                  </w:rPr>
                  <m:t>i</m:t>
                </m:r>
                <m:ctrlPr>
                  <w:rPr>
                    <w:rFonts w:ascii="Cambria Math" w:hAnsi="Cambria Math" w:eastAsia="华文宋体" w:cs="Times New Roman"/>
                    <w:sz w:val="28"/>
                    <w:szCs w:val="28"/>
                  </w:rPr>
                </m:ctrlPr>
              </m:sub>
            </m:sSub>
            <m:ctrlPr>
              <w:rPr>
                <w:rFonts w:ascii="Cambria Math" w:hAnsi="Cambria Math" w:eastAsia="华文宋体" w:cs="Times New Roman"/>
                <w:sz w:val="28"/>
                <w:szCs w:val="28"/>
              </w:rPr>
            </m:ctrlPr>
          </m:e>
        </m:nary>
        <m:r>
          <m:rPr>
            <m:sty m:val="p"/>
          </m:rPr>
          <w:rPr>
            <w:rFonts w:ascii="Cambria Math" w:hAnsi="Cambria Math" w:eastAsia="华文宋体" w:cs="Times New Roman"/>
            <w:sz w:val="28"/>
            <w:szCs w:val="28"/>
          </w:rPr>
          <m:t>×</m:t>
        </m:r>
        <m:sSub>
          <m:sSubPr>
            <m:ctrlPr>
              <w:rPr>
                <w:rFonts w:ascii="Cambria Math" w:hAnsi="Cambria Math" w:eastAsia="华文宋体" w:cs="Times New Roman"/>
                <w:sz w:val="28"/>
                <w:szCs w:val="28"/>
              </w:rPr>
            </m:ctrlPr>
          </m:sSubPr>
          <m:e>
            <m:r>
              <m:rPr>
                <m:sty m:val="p"/>
              </m:rPr>
              <w:rPr>
                <w:rFonts w:ascii="Cambria Math" w:hAnsi="Cambria Math" w:eastAsia="华文宋体" w:cs="Times New Roman"/>
                <w:sz w:val="28"/>
                <w:szCs w:val="28"/>
              </w:rPr>
              <m:t>Q</m:t>
            </m:r>
            <m:ctrlPr>
              <w:rPr>
                <w:rFonts w:ascii="Cambria Math" w:hAnsi="Cambria Math" w:eastAsia="华文宋体" w:cs="Times New Roman"/>
                <w:sz w:val="28"/>
                <w:szCs w:val="28"/>
              </w:rPr>
            </m:ctrlPr>
          </m:e>
          <m:sub>
            <m:r>
              <m:rPr>
                <m:sty m:val="p"/>
              </m:rPr>
              <w:rPr>
                <w:rFonts w:ascii="Cambria Math" w:hAnsi="Cambria Math" w:eastAsia="华文宋体" w:cs="Times New Roman"/>
                <w:sz w:val="28"/>
                <w:szCs w:val="28"/>
              </w:rPr>
              <m:t>i</m:t>
            </m:r>
            <m:ctrlPr>
              <w:rPr>
                <w:rFonts w:ascii="Cambria Math" w:hAnsi="Cambria Math" w:eastAsia="华文宋体" w:cs="Times New Roman"/>
                <w:sz w:val="28"/>
                <w:szCs w:val="28"/>
              </w:rPr>
            </m:ctrlPr>
          </m:sub>
        </m:sSub>
        <m:r>
          <m:rPr>
            <m:sty m:val="p"/>
          </m:rPr>
          <w:rPr>
            <w:rFonts w:ascii="Cambria Math" w:hAnsi="Cambria Math" w:eastAsia="华文宋体" w:cs="Times New Roman"/>
            <w:sz w:val="28"/>
            <w:szCs w:val="28"/>
          </w:rPr>
          <m:t>/</m:t>
        </m:r>
        <m:nary>
          <m:naryPr>
            <m:chr m:val="∑"/>
            <m:limLoc m:val="subSup"/>
            <m:ctrlPr>
              <w:rPr>
                <w:rFonts w:ascii="Cambria Math" w:hAnsi="Cambria Math" w:eastAsia="华文宋体" w:cs="Times New Roman"/>
                <w:sz w:val="28"/>
                <w:szCs w:val="28"/>
              </w:rPr>
            </m:ctrlPr>
          </m:naryPr>
          <m:sub>
            <m:r>
              <m:rPr>
                <m:sty m:val="p"/>
              </m:rPr>
              <w:rPr>
                <w:rFonts w:ascii="Cambria Math" w:hAnsi="Cambria Math" w:eastAsia="华文宋体" w:cs="Times New Roman"/>
                <w:sz w:val="28"/>
                <w:szCs w:val="28"/>
              </w:rPr>
              <m:t>i=1</m:t>
            </m:r>
            <m:ctrlPr>
              <w:rPr>
                <w:rFonts w:ascii="Cambria Math" w:hAnsi="Cambria Math" w:eastAsia="华文宋体" w:cs="Times New Roman"/>
                <w:sz w:val="28"/>
                <w:szCs w:val="28"/>
              </w:rPr>
            </m:ctrlPr>
          </m:sub>
          <m:sup>
            <m:r>
              <m:rPr>
                <m:sty m:val="p"/>
              </m:rPr>
              <w:rPr>
                <w:rFonts w:ascii="Cambria Math" w:hAnsi="Cambria Math" w:eastAsia="华文宋体" w:cs="Times New Roman"/>
                <w:sz w:val="28"/>
                <w:szCs w:val="28"/>
              </w:rPr>
              <m:t>V</m:t>
            </m:r>
            <m:ctrlPr>
              <w:rPr>
                <w:rFonts w:ascii="Cambria Math" w:hAnsi="Cambria Math" w:eastAsia="华文宋体" w:cs="Times New Roman"/>
                <w:sz w:val="28"/>
                <w:szCs w:val="28"/>
              </w:rPr>
            </m:ctrlPr>
          </m:sup>
          <m:e>
            <m:sSub>
              <m:sSubPr>
                <m:ctrlPr>
                  <w:rPr>
                    <w:rFonts w:ascii="Cambria Math" w:hAnsi="Cambria Math" w:eastAsia="华文宋体" w:cs="Times New Roman"/>
                    <w:sz w:val="28"/>
                    <w:szCs w:val="28"/>
                  </w:rPr>
                </m:ctrlPr>
              </m:sSubPr>
              <m:e>
                <m:r>
                  <m:rPr>
                    <m:sty m:val="p"/>
                  </m:rPr>
                  <w:rPr>
                    <w:rFonts w:ascii="Cambria Math" w:hAnsi="Cambria Math" w:eastAsia="华文宋体" w:cs="Times New Roman"/>
                    <w:sz w:val="28"/>
                    <w:szCs w:val="28"/>
                  </w:rPr>
                  <m:t>M</m:t>
                </m:r>
                <m:ctrlPr>
                  <w:rPr>
                    <w:rFonts w:ascii="Cambria Math" w:hAnsi="Cambria Math" w:eastAsia="华文宋体" w:cs="Times New Roman"/>
                    <w:sz w:val="28"/>
                    <w:szCs w:val="28"/>
                  </w:rPr>
                </m:ctrlPr>
              </m:e>
              <m:sub>
                <m:r>
                  <m:rPr>
                    <m:sty m:val="p"/>
                  </m:rPr>
                  <w:rPr>
                    <w:rFonts w:ascii="Cambria Math" w:hAnsi="Cambria Math" w:eastAsia="华文宋体" w:cs="Times New Roman"/>
                    <w:sz w:val="28"/>
                    <w:szCs w:val="28"/>
                  </w:rPr>
                  <m:t>i</m:t>
                </m:r>
                <m:ctrlPr>
                  <w:rPr>
                    <w:rFonts w:ascii="Cambria Math" w:hAnsi="Cambria Math" w:eastAsia="华文宋体" w:cs="Times New Roman"/>
                    <w:sz w:val="28"/>
                    <w:szCs w:val="28"/>
                  </w:rPr>
                </m:ctrlPr>
              </m:sub>
            </m:sSub>
            <m:ctrlPr>
              <w:rPr>
                <w:rFonts w:ascii="Cambria Math" w:hAnsi="Cambria Math" w:eastAsia="华文宋体" w:cs="Times New Roman"/>
                <w:sz w:val="28"/>
                <w:szCs w:val="28"/>
              </w:rPr>
            </m:ctrlPr>
          </m:e>
        </m:nary>
      </m:oMath>
      <w:r>
        <w:rPr>
          <w:rFonts w:ascii="Times New Roman" w:hAnsi="Times New Roman" w:eastAsia="华文宋体" w:cs="Times New Roman"/>
          <w:sz w:val="28"/>
          <w:szCs w:val="28"/>
        </w:rPr>
        <w:t>(i=Ⅰ，Ⅱ......Ⅴ）。</w:t>
      </w:r>
    </w:p>
    <w:p>
      <w:pPr>
        <w:pStyle w:val="19"/>
        <w:spacing w:line="360" w:lineRule="auto"/>
        <w:ind w:firstLine="566" w:firstLineChars="0"/>
        <w:rPr>
          <w:rFonts w:ascii="Times New Roman" w:hAnsi="Times New Roman" w:eastAsia="华文宋体" w:cs="Times New Roman"/>
          <w:sz w:val="28"/>
          <w:szCs w:val="28"/>
        </w:rPr>
      </w:pPr>
      <w:r>
        <w:rPr>
          <w:rFonts w:ascii="Times New Roman" w:hAnsi="Times New Roman" w:eastAsia="华文宋体" w:cs="Times New Roman"/>
          <w:sz w:val="28"/>
          <w:szCs w:val="28"/>
        </w:rPr>
        <w:t>式中：N为区域森林自然度；Mi为区域内自然度等级为i的森林群落面积；Qi为区域内自然度等级为i的森林群落权重。一般根据森林群落类型或种群结构特征位于次生演替中的阶段划分等级。利用自然度计算方法将森林自然度定性的由顶级到低级划分为五个等级，见表18-1。将邹城市所有森林小班的定量化指标值，带入森林小班自然度计算公式，得到邹城市森林的所有森林小班的自然度值。据此计算得出邹城市森林自然度值。</w:t>
      </w:r>
    </w:p>
    <w:p>
      <w:pPr>
        <w:pStyle w:val="19"/>
        <w:spacing w:line="360" w:lineRule="auto"/>
        <w:ind w:firstLine="566" w:firstLineChars="0"/>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表</w:t>
      </w:r>
      <w:r>
        <w:rPr>
          <w:rFonts w:hint="eastAsia" w:ascii="Times New Roman" w:hAnsi="Times New Roman" w:eastAsia="华文宋体" w:cs="Times New Roman"/>
          <w:sz w:val="24"/>
          <w:szCs w:val="24"/>
        </w:rPr>
        <w:t>2.3</w:t>
      </w:r>
      <w:r>
        <w:rPr>
          <w:rFonts w:ascii="Times New Roman" w:hAnsi="Times New Roman" w:eastAsia="华文宋体" w:cs="Times New Roman"/>
          <w:sz w:val="24"/>
          <w:szCs w:val="24"/>
        </w:rPr>
        <w:t>-1   森林自然度等级划分表</w:t>
      </w:r>
    </w:p>
    <w:tbl>
      <w:tblPr>
        <w:tblStyle w:val="15"/>
        <w:tblW w:w="8522" w:type="dxa"/>
        <w:tblInd w:w="0" w:type="dxa"/>
        <w:tblLayout w:type="fixed"/>
        <w:tblCellMar>
          <w:top w:w="0" w:type="dxa"/>
          <w:left w:w="108" w:type="dxa"/>
          <w:bottom w:w="0" w:type="dxa"/>
          <w:right w:w="108" w:type="dxa"/>
        </w:tblCellMar>
      </w:tblPr>
      <w:tblGrid>
        <w:gridCol w:w="2018"/>
        <w:gridCol w:w="6504"/>
      </w:tblGrid>
      <w:tr>
        <w:tblPrEx>
          <w:tblLayout w:type="fixed"/>
          <w:tblCellMar>
            <w:top w:w="0" w:type="dxa"/>
            <w:left w:w="108" w:type="dxa"/>
            <w:bottom w:w="0" w:type="dxa"/>
            <w:right w:w="108" w:type="dxa"/>
          </w:tblCellMar>
        </w:tblPrEx>
        <w:trPr>
          <w:trHeight w:val="540" w:hRule="atLeast"/>
        </w:trPr>
        <w:tc>
          <w:tcPr>
            <w:tcW w:w="20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eastAsia="华文宋体" w:cs="Times New Roman"/>
                <w:bCs/>
                <w:kern w:val="0"/>
                <w:sz w:val="24"/>
                <w:szCs w:val="24"/>
              </w:rPr>
            </w:pPr>
            <w:r>
              <w:rPr>
                <w:rFonts w:ascii="Times New Roman" w:hAnsi="Times New Roman" w:eastAsia="华文宋体" w:cs="Times New Roman"/>
                <w:bCs/>
                <w:kern w:val="0"/>
                <w:sz w:val="24"/>
                <w:szCs w:val="24"/>
              </w:rPr>
              <w:t xml:space="preserve">自然度等级    </w:t>
            </w:r>
          </w:p>
        </w:tc>
        <w:tc>
          <w:tcPr>
            <w:tcW w:w="6504"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eastAsia="华文宋体" w:cs="Times New Roman"/>
                <w:bCs/>
                <w:kern w:val="0"/>
                <w:sz w:val="24"/>
                <w:szCs w:val="24"/>
              </w:rPr>
            </w:pPr>
            <w:r>
              <w:rPr>
                <w:rFonts w:ascii="Times New Roman" w:hAnsi="Times New Roman" w:eastAsia="华文宋体" w:cs="Times New Roman"/>
                <w:bCs/>
                <w:kern w:val="0"/>
                <w:sz w:val="24"/>
                <w:szCs w:val="24"/>
              </w:rPr>
              <w:t>林分状况</w:t>
            </w:r>
          </w:p>
        </w:tc>
      </w:tr>
      <w:tr>
        <w:tblPrEx>
          <w:tblLayout w:type="fixed"/>
          <w:tblCellMar>
            <w:top w:w="0" w:type="dxa"/>
            <w:left w:w="108" w:type="dxa"/>
            <w:bottom w:w="0" w:type="dxa"/>
            <w:right w:w="108" w:type="dxa"/>
          </w:tblCellMar>
        </w:tblPrEx>
        <w:trPr>
          <w:trHeight w:val="579" w:hRule="atLeast"/>
        </w:trPr>
        <w:tc>
          <w:tcPr>
            <w:tcW w:w="20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I</w:t>
            </w:r>
          </w:p>
        </w:tc>
        <w:tc>
          <w:tcPr>
            <w:tcW w:w="6504"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基本原始状态或稳定的顶极森林。</w:t>
            </w:r>
          </w:p>
        </w:tc>
      </w:tr>
      <w:tr>
        <w:tblPrEx>
          <w:tblLayout w:type="fixed"/>
          <w:tblCellMar>
            <w:top w:w="0" w:type="dxa"/>
            <w:left w:w="108" w:type="dxa"/>
            <w:bottom w:w="0" w:type="dxa"/>
            <w:right w:w="108" w:type="dxa"/>
          </w:tblCellMar>
        </w:tblPrEx>
        <w:trPr>
          <w:trHeight w:val="1080" w:hRule="atLeast"/>
        </w:trPr>
        <w:tc>
          <w:tcPr>
            <w:tcW w:w="20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II </w:t>
            </w:r>
          </w:p>
        </w:tc>
        <w:tc>
          <w:tcPr>
            <w:tcW w:w="6504"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林分为地带性群落，上层原始树种为乡土树种，且其林木的郁闭度在0.2以上，其蓄积量在林分中占优势（50%以上）。</w:t>
            </w:r>
          </w:p>
        </w:tc>
      </w:tr>
      <w:tr>
        <w:tblPrEx>
          <w:tblLayout w:type="fixed"/>
          <w:tblCellMar>
            <w:top w:w="0" w:type="dxa"/>
            <w:left w:w="108" w:type="dxa"/>
            <w:bottom w:w="0" w:type="dxa"/>
            <w:right w:w="108" w:type="dxa"/>
          </w:tblCellMar>
        </w:tblPrEx>
        <w:trPr>
          <w:trHeight w:val="1452" w:hRule="atLeast"/>
        </w:trPr>
        <w:tc>
          <w:tcPr>
            <w:tcW w:w="20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III</w:t>
            </w:r>
          </w:p>
        </w:tc>
        <w:tc>
          <w:tcPr>
            <w:tcW w:w="6504"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以乡土树种为主要成份构成的植物群落，上层原始树种为乡土树种，且其林木以散生木状态保存，其蓄积量虽不占优势，但仍保持三分之一 的比重，林分总蓄积量属中上水平。</w:t>
            </w:r>
          </w:p>
        </w:tc>
      </w:tr>
      <w:tr>
        <w:tblPrEx>
          <w:tblLayout w:type="fixed"/>
          <w:tblCellMar>
            <w:top w:w="0" w:type="dxa"/>
            <w:left w:w="108" w:type="dxa"/>
            <w:bottom w:w="0" w:type="dxa"/>
            <w:right w:w="108" w:type="dxa"/>
          </w:tblCellMar>
        </w:tblPrEx>
        <w:trPr>
          <w:trHeight w:val="1419" w:hRule="atLeast"/>
        </w:trPr>
        <w:tc>
          <w:tcPr>
            <w:tcW w:w="20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IV </w:t>
            </w:r>
          </w:p>
        </w:tc>
        <w:tc>
          <w:tcPr>
            <w:tcW w:w="6504"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以乡土树种为主要成份构成的植物群落，上层原始树种林木零星可见，林分处中期发育阶段，主林层树种组成中原始树种和侵入的阳性树种都占有一定比例。</w:t>
            </w:r>
          </w:p>
        </w:tc>
      </w:tr>
      <w:tr>
        <w:tblPrEx>
          <w:tblLayout w:type="fixed"/>
          <w:tblCellMar>
            <w:top w:w="0" w:type="dxa"/>
            <w:left w:w="108" w:type="dxa"/>
            <w:bottom w:w="0" w:type="dxa"/>
            <w:right w:w="108" w:type="dxa"/>
          </w:tblCellMar>
        </w:tblPrEx>
        <w:trPr>
          <w:trHeight w:val="759" w:hRule="atLeast"/>
        </w:trPr>
        <w:tc>
          <w:tcPr>
            <w:tcW w:w="20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 xml:space="preserve">V </w:t>
            </w:r>
          </w:p>
        </w:tc>
        <w:tc>
          <w:tcPr>
            <w:tcW w:w="6504"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eastAsia="华文宋体" w:cs="Times New Roman"/>
                <w:kern w:val="0"/>
                <w:sz w:val="24"/>
                <w:szCs w:val="24"/>
              </w:rPr>
            </w:pPr>
            <w:r>
              <w:rPr>
                <w:rFonts w:ascii="Times New Roman" w:hAnsi="Times New Roman" w:eastAsia="华文宋体" w:cs="Times New Roman"/>
                <w:kern w:val="0"/>
                <w:sz w:val="24"/>
                <w:szCs w:val="24"/>
              </w:rPr>
              <w:t>天然更新幼林地、皆伐迹地、火烧迹地和宜林地;外来树种造林纯林林地。</w:t>
            </w:r>
          </w:p>
        </w:tc>
      </w:tr>
    </w:tbl>
    <w:p>
      <w:pPr>
        <w:pStyle w:val="5"/>
      </w:pPr>
      <w:r>
        <w:rPr>
          <w:rFonts w:hint="eastAsia"/>
        </w:rPr>
        <w:t xml:space="preserve">2.3.3 </w:t>
      </w:r>
      <w:r>
        <w:t>自查结果</w:t>
      </w:r>
    </w:p>
    <w:p>
      <w:pPr>
        <w:pStyle w:val="22"/>
        <w:tabs>
          <w:tab w:val="left" w:pos="709"/>
        </w:tabs>
        <w:spacing w:line="360" w:lineRule="auto"/>
        <w:ind w:firstLine="566" w:firstLineChars="0"/>
        <w:rPr>
          <w:rFonts w:ascii="Times New Roman" w:hAnsi="Times New Roman" w:eastAsia="华文宋体" w:cs="Times New Roman"/>
          <w:sz w:val="28"/>
          <w:szCs w:val="28"/>
        </w:rPr>
      </w:pPr>
      <w:r>
        <w:rPr>
          <w:rFonts w:ascii="Times New Roman" w:hAnsi="Times New Roman" w:cs="Times New Roman"/>
          <w:sz w:val="28"/>
          <w:szCs w:val="28"/>
        </w:rPr>
        <w:t>达标。创建森林城市以来，邹城市不断提高郊区森林质量，森林植物群落演替趋于自然状态。根据邹城市林业建档数据计算，全市有林地面积为51869.30公顷，疏林地123.30公顷，灌木林地269.23公顷，未成林地2173.58公顷，苗圃地1383.26公顷，无立木林地45.93公顷，宜林地954.20公顷。其自然度分别为0.483、0.001、0.002、0.017、0.010、0.000、0.000，通过加权平均计算得到</w:t>
      </w:r>
      <w:r>
        <w:rPr>
          <w:rFonts w:ascii="Times New Roman" w:hAnsi="Times New Roman" w:eastAsia="华文宋体" w:cs="Times New Roman"/>
          <w:sz w:val="28"/>
          <w:szCs w:val="28"/>
        </w:rPr>
        <w:t>邹城市森林自然度为0.513，不低于0.5。</w:t>
      </w:r>
      <w:r>
        <w:rPr>
          <w:rFonts w:ascii="Times New Roman" w:hAnsi="Times New Roman" w:cs="Times New Roman"/>
          <w:sz w:val="28"/>
          <w:szCs w:val="28"/>
        </w:rPr>
        <w:t>达到《国家森林城市评价指标》的要求。</w:t>
      </w:r>
    </w:p>
    <w:tbl>
      <w:tblPr>
        <w:tblStyle w:val="15"/>
        <w:tblW w:w="8528" w:type="dxa"/>
        <w:tblInd w:w="0" w:type="dxa"/>
        <w:tblLayout w:type="fixed"/>
        <w:tblCellMar>
          <w:top w:w="0" w:type="dxa"/>
          <w:left w:w="108" w:type="dxa"/>
          <w:bottom w:w="0" w:type="dxa"/>
          <w:right w:w="108" w:type="dxa"/>
        </w:tblCellMar>
      </w:tblPr>
      <w:tblGrid>
        <w:gridCol w:w="2169"/>
        <w:gridCol w:w="1960"/>
        <w:gridCol w:w="1114"/>
        <w:gridCol w:w="1114"/>
        <w:gridCol w:w="2171"/>
      </w:tblGrid>
      <w:tr>
        <w:tblPrEx>
          <w:tblLayout w:type="fixed"/>
          <w:tblCellMar>
            <w:top w:w="0" w:type="dxa"/>
            <w:left w:w="108" w:type="dxa"/>
            <w:bottom w:w="0" w:type="dxa"/>
            <w:right w:w="108" w:type="dxa"/>
          </w:tblCellMar>
        </w:tblPrEx>
        <w:trPr>
          <w:trHeight w:val="270" w:hRule="atLeast"/>
        </w:trPr>
        <w:tc>
          <w:tcPr>
            <w:tcW w:w="8528" w:type="dxa"/>
            <w:gridSpan w:val="5"/>
            <w:tcBorders>
              <w:top w:val="nil"/>
              <w:left w:val="nil"/>
              <w:bottom w:val="nil"/>
              <w:right w:val="nil"/>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表2.3-2   邹城市森林自然度统计表</w:t>
            </w:r>
          </w:p>
        </w:tc>
      </w:tr>
      <w:tr>
        <w:tblPrEx>
          <w:tblLayout w:type="fixed"/>
          <w:tblCellMar>
            <w:top w:w="0" w:type="dxa"/>
            <w:left w:w="108" w:type="dxa"/>
            <w:bottom w:w="0" w:type="dxa"/>
            <w:right w:w="108" w:type="dxa"/>
          </w:tblCellMar>
        </w:tblPrEx>
        <w:trPr>
          <w:trHeight w:val="270" w:hRule="atLeast"/>
        </w:trPr>
        <w:tc>
          <w:tcPr>
            <w:tcW w:w="2169"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1960"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1114"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1114" w:type="dxa"/>
            <w:tcBorders>
              <w:top w:val="nil"/>
              <w:left w:val="nil"/>
              <w:bottom w:val="nil"/>
              <w:right w:val="nil"/>
            </w:tcBorders>
            <w:shd w:val="clear" w:color="auto" w:fill="auto"/>
            <w:vAlign w:val="center"/>
          </w:tcPr>
          <w:p>
            <w:pPr>
              <w:widowControl/>
              <w:jc w:val="left"/>
              <w:rPr>
                <w:rFonts w:ascii="Times New Roman" w:hAnsi="Times New Roman" w:eastAsia="华文宋体" w:cs="Times New Roman"/>
                <w:color w:val="000000"/>
                <w:kern w:val="0"/>
                <w:sz w:val="24"/>
                <w:szCs w:val="24"/>
              </w:rPr>
            </w:pPr>
          </w:p>
        </w:tc>
        <w:tc>
          <w:tcPr>
            <w:tcW w:w="2171" w:type="dxa"/>
            <w:tcBorders>
              <w:top w:val="nil"/>
              <w:left w:val="nil"/>
              <w:bottom w:val="nil"/>
              <w:right w:val="nil"/>
            </w:tcBorders>
            <w:shd w:val="clear" w:color="auto" w:fill="auto"/>
            <w:vAlign w:val="center"/>
          </w:tcPr>
          <w:p>
            <w:pPr>
              <w:widowControl/>
              <w:jc w:val="right"/>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单位：公顷</w:t>
            </w:r>
          </w:p>
        </w:tc>
      </w:tr>
      <w:tr>
        <w:tblPrEx>
          <w:tblLayout w:type="fixed"/>
          <w:tblCellMar>
            <w:top w:w="0" w:type="dxa"/>
            <w:left w:w="108" w:type="dxa"/>
            <w:bottom w:w="0" w:type="dxa"/>
            <w:right w:w="108" w:type="dxa"/>
          </w:tblCellMar>
        </w:tblPrEx>
        <w:trPr>
          <w:trHeight w:val="270" w:hRule="atLeast"/>
        </w:trPr>
        <w:tc>
          <w:tcPr>
            <w:tcW w:w="21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林地类型</w:t>
            </w:r>
          </w:p>
        </w:tc>
        <w:tc>
          <w:tcPr>
            <w:tcW w:w="19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面积</w:t>
            </w:r>
          </w:p>
        </w:tc>
        <w:tc>
          <w:tcPr>
            <w:tcW w:w="111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权重</w:t>
            </w:r>
          </w:p>
        </w:tc>
        <w:tc>
          <w:tcPr>
            <w:tcW w:w="111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赋值</w:t>
            </w:r>
          </w:p>
        </w:tc>
        <w:tc>
          <w:tcPr>
            <w:tcW w:w="217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森林自然度</w:t>
            </w:r>
          </w:p>
        </w:tc>
      </w:tr>
      <w:tr>
        <w:tblPrEx>
          <w:tblLayout w:type="fixed"/>
          <w:tblCellMar>
            <w:top w:w="0" w:type="dxa"/>
            <w:left w:w="108" w:type="dxa"/>
            <w:bottom w:w="0" w:type="dxa"/>
            <w:right w:w="108" w:type="dxa"/>
          </w:tblCellMar>
        </w:tblPrEx>
        <w:trPr>
          <w:trHeight w:val="270" w:hRule="atLeast"/>
        </w:trPr>
        <w:tc>
          <w:tcPr>
            <w:tcW w:w="21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合计</w:t>
            </w:r>
          </w:p>
        </w:tc>
        <w:tc>
          <w:tcPr>
            <w:tcW w:w="19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56818.800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1.000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w:t>
            </w:r>
          </w:p>
        </w:tc>
        <w:tc>
          <w:tcPr>
            <w:tcW w:w="21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0.513 </w:t>
            </w:r>
          </w:p>
        </w:tc>
      </w:tr>
      <w:tr>
        <w:tblPrEx>
          <w:tblLayout w:type="fixed"/>
          <w:tblCellMar>
            <w:top w:w="0" w:type="dxa"/>
            <w:left w:w="108" w:type="dxa"/>
            <w:bottom w:w="0" w:type="dxa"/>
            <w:right w:w="108" w:type="dxa"/>
          </w:tblCellMar>
        </w:tblPrEx>
        <w:trPr>
          <w:trHeight w:val="270" w:hRule="atLeast"/>
        </w:trPr>
        <w:tc>
          <w:tcPr>
            <w:tcW w:w="21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有林地</w:t>
            </w:r>
          </w:p>
        </w:tc>
        <w:tc>
          <w:tcPr>
            <w:tcW w:w="19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51869.300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0.913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0.529 </w:t>
            </w:r>
          </w:p>
        </w:tc>
        <w:tc>
          <w:tcPr>
            <w:tcW w:w="21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0.483 </w:t>
            </w:r>
          </w:p>
        </w:tc>
      </w:tr>
      <w:tr>
        <w:tblPrEx>
          <w:tblLayout w:type="fixed"/>
          <w:tblCellMar>
            <w:top w:w="0" w:type="dxa"/>
            <w:left w:w="108" w:type="dxa"/>
            <w:bottom w:w="0" w:type="dxa"/>
            <w:right w:w="108" w:type="dxa"/>
          </w:tblCellMar>
        </w:tblPrEx>
        <w:trPr>
          <w:trHeight w:val="270" w:hRule="atLeast"/>
        </w:trPr>
        <w:tc>
          <w:tcPr>
            <w:tcW w:w="21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疏林地</w:t>
            </w:r>
          </w:p>
        </w:tc>
        <w:tc>
          <w:tcPr>
            <w:tcW w:w="19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123.300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0.002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0.471 </w:t>
            </w:r>
          </w:p>
        </w:tc>
        <w:tc>
          <w:tcPr>
            <w:tcW w:w="21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0.001 </w:t>
            </w:r>
          </w:p>
        </w:tc>
      </w:tr>
      <w:tr>
        <w:tblPrEx>
          <w:tblLayout w:type="fixed"/>
          <w:tblCellMar>
            <w:top w:w="0" w:type="dxa"/>
            <w:left w:w="108" w:type="dxa"/>
            <w:bottom w:w="0" w:type="dxa"/>
            <w:right w:w="108" w:type="dxa"/>
          </w:tblCellMar>
        </w:tblPrEx>
        <w:trPr>
          <w:trHeight w:val="270" w:hRule="atLeast"/>
        </w:trPr>
        <w:tc>
          <w:tcPr>
            <w:tcW w:w="21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灌木林地</w:t>
            </w:r>
          </w:p>
        </w:tc>
        <w:tc>
          <w:tcPr>
            <w:tcW w:w="19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269.230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0.005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0.470 </w:t>
            </w:r>
          </w:p>
        </w:tc>
        <w:tc>
          <w:tcPr>
            <w:tcW w:w="21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0.002 </w:t>
            </w:r>
          </w:p>
        </w:tc>
      </w:tr>
      <w:tr>
        <w:tblPrEx>
          <w:tblLayout w:type="fixed"/>
          <w:tblCellMar>
            <w:top w:w="0" w:type="dxa"/>
            <w:left w:w="108" w:type="dxa"/>
            <w:bottom w:w="0" w:type="dxa"/>
            <w:right w:w="108" w:type="dxa"/>
          </w:tblCellMar>
        </w:tblPrEx>
        <w:trPr>
          <w:trHeight w:val="270" w:hRule="atLeast"/>
        </w:trPr>
        <w:tc>
          <w:tcPr>
            <w:tcW w:w="21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未成林地</w:t>
            </w:r>
          </w:p>
        </w:tc>
        <w:tc>
          <w:tcPr>
            <w:tcW w:w="19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2173.580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0.038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0.441 </w:t>
            </w:r>
          </w:p>
        </w:tc>
        <w:tc>
          <w:tcPr>
            <w:tcW w:w="21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0.017 </w:t>
            </w:r>
          </w:p>
        </w:tc>
      </w:tr>
      <w:tr>
        <w:tblPrEx>
          <w:tblLayout w:type="fixed"/>
          <w:tblCellMar>
            <w:top w:w="0" w:type="dxa"/>
            <w:left w:w="108" w:type="dxa"/>
            <w:bottom w:w="0" w:type="dxa"/>
            <w:right w:w="108" w:type="dxa"/>
          </w:tblCellMar>
        </w:tblPrEx>
        <w:trPr>
          <w:trHeight w:val="270" w:hRule="atLeast"/>
        </w:trPr>
        <w:tc>
          <w:tcPr>
            <w:tcW w:w="21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苗圃地</w:t>
            </w:r>
          </w:p>
        </w:tc>
        <w:tc>
          <w:tcPr>
            <w:tcW w:w="19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1383.260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0.024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0.391 </w:t>
            </w:r>
          </w:p>
        </w:tc>
        <w:tc>
          <w:tcPr>
            <w:tcW w:w="21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0.010 </w:t>
            </w:r>
          </w:p>
        </w:tc>
      </w:tr>
      <w:tr>
        <w:tblPrEx>
          <w:tblLayout w:type="fixed"/>
          <w:tblCellMar>
            <w:top w:w="0" w:type="dxa"/>
            <w:left w:w="108" w:type="dxa"/>
            <w:bottom w:w="0" w:type="dxa"/>
            <w:right w:w="108" w:type="dxa"/>
          </w:tblCellMar>
        </w:tblPrEx>
        <w:trPr>
          <w:trHeight w:val="270" w:hRule="atLeast"/>
        </w:trPr>
        <w:tc>
          <w:tcPr>
            <w:tcW w:w="21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无立木林地</w:t>
            </w:r>
          </w:p>
        </w:tc>
        <w:tc>
          <w:tcPr>
            <w:tcW w:w="19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45.930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0.001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0.000 </w:t>
            </w:r>
          </w:p>
        </w:tc>
        <w:tc>
          <w:tcPr>
            <w:tcW w:w="21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0.000 </w:t>
            </w:r>
          </w:p>
        </w:tc>
      </w:tr>
      <w:tr>
        <w:tblPrEx>
          <w:tblLayout w:type="fixed"/>
          <w:tblCellMar>
            <w:top w:w="0" w:type="dxa"/>
            <w:left w:w="108" w:type="dxa"/>
            <w:bottom w:w="0" w:type="dxa"/>
            <w:right w:w="108" w:type="dxa"/>
          </w:tblCellMar>
        </w:tblPrEx>
        <w:trPr>
          <w:trHeight w:val="270" w:hRule="atLeast"/>
        </w:trPr>
        <w:tc>
          <w:tcPr>
            <w:tcW w:w="216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宜林地</w:t>
            </w:r>
          </w:p>
        </w:tc>
        <w:tc>
          <w:tcPr>
            <w:tcW w:w="19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954.200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0.017 </w:t>
            </w:r>
          </w:p>
        </w:tc>
        <w:tc>
          <w:tcPr>
            <w:tcW w:w="111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0.000 </w:t>
            </w:r>
          </w:p>
        </w:tc>
        <w:tc>
          <w:tcPr>
            <w:tcW w:w="217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华文宋体" w:cs="Times New Roman"/>
                <w:color w:val="000000"/>
                <w:kern w:val="0"/>
                <w:sz w:val="24"/>
                <w:szCs w:val="24"/>
              </w:rPr>
            </w:pPr>
            <w:r>
              <w:rPr>
                <w:rFonts w:ascii="Times New Roman" w:hAnsi="Times New Roman" w:eastAsia="华文宋体" w:cs="Times New Roman"/>
                <w:color w:val="000000"/>
                <w:kern w:val="0"/>
                <w:sz w:val="24"/>
                <w:szCs w:val="24"/>
              </w:rPr>
              <w:t xml:space="preserve">0.000 </w:t>
            </w:r>
          </w:p>
        </w:tc>
      </w:tr>
    </w:tbl>
    <w:p>
      <w:pPr>
        <w:pStyle w:val="5"/>
      </w:pPr>
      <w:r>
        <w:rPr>
          <w:rFonts w:hint="eastAsia"/>
        </w:rPr>
        <w:t xml:space="preserve">2.3.4 </w:t>
      </w:r>
      <w:r>
        <w:t>支撑材料</w:t>
      </w:r>
    </w:p>
    <w:p>
      <w:pPr>
        <w:numPr>
          <w:ilvl w:val="0"/>
          <w:numId w:val="19"/>
        </w:numPr>
        <w:tabs>
          <w:tab w:val="left" w:pos="2511"/>
        </w:tabs>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pStyle w:val="19"/>
        <w:numPr>
          <w:ilvl w:val="0"/>
          <w:numId w:val="19"/>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邹城市森林自然度统计表</w:t>
      </w:r>
    </w:p>
    <w:p>
      <w:pPr>
        <w:pStyle w:val="19"/>
        <w:numPr>
          <w:ilvl w:val="0"/>
          <w:numId w:val="19"/>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森林自然度等级划分标准统计表</w:t>
      </w:r>
    </w:p>
    <w:p>
      <w:pPr>
        <w:pStyle w:val="19"/>
        <w:numPr>
          <w:ilvl w:val="0"/>
          <w:numId w:val="19"/>
        </w:numPr>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29" w:name="_Toc519373556"/>
      <w:r>
        <w:rPr>
          <w:rFonts w:hint="eastAsia"/>
        </w:rPr>
        <w:t xml:space="preserve">2.4 </w:t>
      </w:r>
      <w:r>
        <w:t>造林苗木使用</w:t>
      </w:r>
      <w:bookmarkEnd w:id="29"/>
    </w:p>
    <w:p>
      <w:pPr>
        <w:pStyle w:val="5"/>
      </w:pPr>
      <w:r>
        <w:rPr>
          <w:rFonts w:hint="eastAsia"/>
        </w:rPr>
        <w:t xml:space="preserve">2.4.1 </w:t>
      </w:r>
      <w:r>
        <w:t>指标要求</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城市森林营造应以苗圃培育的苗木为主，因地制宜地使用大、中、小苗和优质苗木。禁止从农村和山上移植古树、大树进城。</w:t>
      </w:r>
    </w:p>
    <w:p>
      <w:pPr>
        <w:pStyle w:val="5"/>
      </w:pPr>
      <w:r>
        <w:rPr>
          <w:rFonts w:hint="eastAsia"/>
        </w:rPr>
        <w:t xml:space="preserve">2.4.2 </w:t>
      </w:r>
      <w:r>
        <w:t>方法步骤</w:t>
      </w:r>
    </w:p>
    <w:p>
      <w:pPr>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资料统计：查看2015-2017年城区造林绿化苗木使用情况统计表和2015-2017邹城市造林面积统计表，计算得知各树种种植面积、种植比例。</w:t>
      </w:r>
    </w:p>
    <w:p>
      <w:pPr>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实地调查：随机选取造林绿化样地进行调查，核实苗木使用情况表数据和造林面积统计表数据。</w:t>
      </w:r>
    </w:p>
    <w:p>
      <w:pPr>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在邹城市林业局工作人员陪同下，调查组查阅了相关的档案资料，并实地核实了苗圃建设情况，以及优良乡土树种绿化培育基地。</w:t>
      </w:r>
    </w:p>
    <w:p>
      <w:pPr>
        <w:pStyle w:val="5"/>
      </w:pPr>
      <w:r>
        <w:rPr>
          <w:rFonts w:hint="eastAsia"/>
        </w:rPr>
        <w:t xml:space="preserve">2.4.3 </w:t>
      </w:r>
      <w:r>
        <w:t>自查结果</w:t>
      </w:r>
    </w:p>
    <w:p>
      <w:pPr>
        <w:spacing w:line="360" w:lineRule="auto"/>
        <w:ind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达标。自创建森林城市以来，在城市森林建设造林绿化过程中，邹城市积极鼓励发展苗木基地，有目的的培育适合城市造林绿化的乡土、珍贵和优质的苗木。邹城市辖区内常年培育造林绿化苗木规模较大的企业达到22家，2018年培育苗木数量达2840.00万株，除城区绿化栽植使用少数外地苗木，大部分城乡造林使用本地苗圃育苗，苗木自给率达80%以上，培育主要苗木有法桐、栾树、白蜡、国槐、皂荚、刺槐、杨树、柿树、柳树、大叶女贞、石楠、核桃、大樱桃等，在荒山造林和特色经济林建设过程中严把苗木质量标准，确保苗木质量达到地方造林苗木质量要求。经实地调查，邹城苗圃苗木品质优良，并且未发现从农村和山上移植古树、大树进城现象。</w:t>
      </w:r>
    </w:p>
    <w:p>
      <w:pPr>
        <w:pStyle w:val="5"/>
      </w:pPr>
      <w:r>
        <w:rPr>
          <w:rFonts w:hint="eastAsia"/>
        </w:rPr>
        <w:t xml:space="preserve">2.4.4 </w:t>
      </w:r>
      <w:r>
        <w:t>支撑材料</w:t>
      </w:r>
    </w:p>
    <w:p>
      <w:pPr>
        <w:numPr>
          <w:ilvl w:val="0"/>
          <w:numId w:val="20"/>
        </w:numPr>
        <w:tabs>
          <w:tab w:val="left" w:pos="2511"/>
        </w:tabs>
        <w:spacing w:line="360" w:lineRule="auto"/>
        <w:ind w:left="0" w:firstLine="560" w:firstLineChars="20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山东省邹城市创建国家森林城市绿化成果专项调查报告</w:t>
      </w:r>
    </w:p>
    <w:p>
      <w:pPr>
        <w:pStyle w:val="19"/>
        <w:numPr>
          <w:ilvl w:val="0"/>
          <w:numId w:val="20"/>
        </w:numPr>
        <w:spacing w:line="360" w:lineRule="auto"/>
        <w:ind w:left="0"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邹城市苗木自给率统计表</w:t>
      </w:r>
    </w:p>
    <w:p>
      <w:pPr>
        <w:pStyle w:val="19"/>
        <w:numPr>
          <w:ilvl w:val="0"/>
          <w:numId w:val="20"/>
        </w:numPr>
        <w:spacing w:line="360" w:lineRule="auto"/>
        <w:ind w:left="0"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林木种子生产经营许可证统计</w:t>
      </w:r>
    </w:p>
    <w:p>
      <w:pPr>
        <w:pStyle w:val="19"/>
        <w:numPr>
          <w:ilvl w:val="0"/>
          <w:numId w:val="20"/>
        </w:numPr>
        <w:spacing w:line="360" w:lineRule="auto"/>
        <w:ind w:left="0"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主要造林树种苗木质量分级</w:t>
      </w:r>
    </w:p>
    <w:p>
      <w:pPr>
        <w:pStyle w:val="19"/>
        <w:numPr>
          <w:ilvl w:val="0"/>
          <w:numId w:val="20"/>
        </w:numPr>
        <w:spacing w:line="360" w:lineRule="auto"/>
        <w:ind w:left="0"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优质苗木和无大树进城证明</w:t>
      </w:r>
    </w:p>
    <w:p>
      <w:pPr>
        <w:pStyle w:val="22"/>
        <w:numPr>
          <w:ilvl w:val="0"/>
          <w:numId w:val="20"/>
        </w:numPr>
        <w:spacing w:line="360" w:lineRule="auto"/>
        <w:ind w:left="0"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中共邹城市委关于实施“退耕还林”生态富民工程的意见（邹办公发</w:t>
      </w:r>
      <w:r>
        <w:rPr>
          <w:rFonts w:hint="eastAsia" w:ascii="Times New Roman" w:hAnsi="Times New Roman" w:eastAsia="华文宋体" w:cs="Times New Roman"/>
          <w:sz w:val="28"/>
          <w:szCs w:val="28"/>
          <w:lang w:eastAsia="zh-CN"/>
        </w:rPr>
        <w:t>﹝2011﹞</w:t>
      </w:r>
      <w:r>
        <w:rPr>
          <w:rFonts w:ascii="Times New Roman" w:hAnsi="Times New Roman" w:eastAsia="华文宋体" w:cs="Times New Roman"/>
          <w:sz w:val="28"/>
          <w:szCs w:val="28"/>
        </w:rPr>
        <w:t>32号）</w:t>
      </w:r>
    </w:p>
    <w:p>
      <w:pPr>
        <w:pStyle w:val="19"/>
        <w:numPr>
          <w:ilvl w:val="0"/>
          <w:numId w:val="20"/>
        </w:numPr>
        <w:spacing w:line="360" w:lineRule="auto"/>
        <w:ind w:left="0"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30" w:name="_Toc519373557"/>
      <w:r>
        <w:rPr>
          <w:rFonts w:hint="eastAsia"/>
        </w:rPr>
        <w:t xml:space="preserve">2.5 </w:t>
      </w:r>
      <w:r>
        <w:t>森林保护</w:t>
      </w:r>
      <w:bookmarkEnd w:id="30"/>
    </w:p>
    <w:p>
      <w:pPr>
        <w:pStyle w:val="5"/>
      </w:pPr>
      <w:r>
        <w:rPr>
          <w:rFonts w:hint="eastAsia"/>
        </w:rPr>
        <w:t xml:space="preserve">2.5.1 </w:t>
      </w:r>
      <w:r>
        <w:t>指标要求</w:t>
      </w:r>
    </w:p>
    <w:p>
      <w:pPr>
        <w:pStyle w:val="19"/>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自创建以来，没有发生严重非法侵占林地、湿地，破坏森林资源，滥捕乱猎也是动物等重大案件。</w:t>
      </w:r>
    </w:p>
    <w:p>
      <w:pPr>
        <w:pStyle w:val="5"/>
      </w:pPr>
      <w:r>
        <w:rPr>
          <w:rFonts w:hint="eastAsia"/>
        </w:rPr>
        <w:t xml:space="preserve">2.5.2 </w:t>
      </w:r>
      <w:r>
        <w:t>方法步骤</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查阅邹城市征占用林地及破坏森林资源等案件的汇总材料。</w:t>
      </w:r>
    </w:p>
    <w:p>
      <w:pPr>
        <w:pStyle w:val="5"/>
      </w:pPr>
      <w:r>
        <w:rPr>
          <w:rFonts w:hint="eastAsia"/>
        </w:rPr>
        <w:t xml:space="preserve">2.5.3 </w:t>
      </w:r>
      <w:r>
        <w:t>自查结果</w:t>
      </w:r>
    </w:p>
    <w:p>
      <w:p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邹城市始终把森林资源的保护作为创建森林城市的重要内容，对森林资源保护和管理十分重视，不断提升创建国家森林城市的成效。森林防火方面，严格按照“预防为主，积极消灭”的森林防火方针，建立健全了防扑火预案，组建专业护林员队伍和专业森林消防队伍，开展森林防火宣传、发放防火宣传小册子和防火宣传单，建有森林防火监控自动预警系统，多年森林火灾受害率都控制在0.5‰以下，防火队伍建设和防火墙建设在全省处于领先地位。森林病虫害防治方面，认真落实林业有害生物防控属地管理责任，层层签订防治责任书；加强森林植物产地检疫和调运检疫工作，建立和完善了虫情测报点，健全监测预警网络，提升了邹城市林业有害生物综合防治能力。同时加大林业执法力度，在市域范围内组织开展打击破坏野生动物资源违法犯罪活动专项行动。组织相关部门联合执法行动，对乱砍滥伐及非法占用林地等违法行为进行严厉查处。通过各种执法活动的开展，有力打击各类破坏森林资源的行为，有效保护了全市森林资源，巩固了林业发展成果。近几年，全市没有发生严重滥砍乱伐森林和树木、非法征占用林地、乱捕滥猎野生动物、重大林业有害生物毁林和重大森林火灾等案件。达到创建国家森林城市指标要求。</w:t>
      </w:r>
    </w:p>
    <w:p>
      <w:pPr>
        <w:pStyle w:val="5"/>
      </w:pPr>
      <w:r>
        <w:rPr>
          <w:rFonts w:hint="eastAsia"/>
        </w:rPr>
        <w:t xml:space="preserve">2.5.4 </w:t>
      </w:r>
      <w:r>
        <w:t>支撑材料</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邹城市森林公安局无重大森林案件证明</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济宁市森林公安局关于邹城市森林公安局2017年度综合考核情况的通报</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森林公安局2017年工作总结</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邹城市森林公安局2016年工作总结</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济宁市森林公安局关于2016年度全市森林公安机关办理森林和野生动物案件情况的通知（济森公字</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2号）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各县2015-2017年森林防火责任状</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邹城市人民政府森林防火指挥部关于构建“邹城市森林防火工作群”的通知</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邹城市人民政府森林防火指挥部关于元宵节期间林区内禁止制售燃放“孔明灯”的紧急通知（邹森防指</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2号）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邹城市人民政府森林防火指挥部关于调整市森林防火指挥部组成人员的通知（邹森防指</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3号）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邹城市人民政府森林防火指挥部办公室关于建设全市森林防火监控自动预警系统续建工程的通知（邹森防指办</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3号）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邹城市人民政府森林防火指挥部关于下发《实行森林防火“网格化”管理办法》的通知（邹森防指</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4号）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邹城市人民政府森林防火指挥部关于印发《邹城市“百日攻坚严厉打击野外违法用火严防森林火灾”专项行动实施方案》的通知（邹森防指</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5号）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济宁市森林公安局关于组织开展“2017利剑行动”的通知（济森公字</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3号）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邹城市2017年度森林防火阻隔带（石砌墙、砖混墙）建设规划表</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邹城市人民政府森林防火指挥部办公室关于对2017年度森林防火墙建设进行核查验收的通知（邹森防指办</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10号）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邹城市人民政府森林防火指挥部办公室关于调整、加快实施森林防火墙建设的通知（邹森防指办</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4号）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邹城市森林防火专业队人员名单及联系方式</w:t>
      </w:r>
    </w:p>
    <w:p>
      <w:pPr>
        <w:pStyle w:val="19"/>
        <w:keepNext w:val="0"/>
        <w:keepLines w:val="0"/>
        <w:pageBreakBefore w:val="0"/>
        <w:widowControl w:val="0"/>
        <w:numPr>
          <w:ilvl w:val="0"/>
          <w:numId w:val="21"/>
        </w:numPr>
        <w:kinsoku/>
        <w:wordWrap w:val="0"/>
        <w:overflowPunct/>
        <w:topLinePunct w:val="0"/>
        <w:autoSpaceDE/>
        <w:autoSpaceDN/>
        <w:bidi w:val="0"/>
        <w:adjustRightInd/>
        <w:snapToGrid/>
        <w:spacing w:line="360" w:lineRule="auto"/>
        <w:ind w:firstLine="560"/>
        <w:jc w:val="left"/>
        <w:textAlignment w:val="auto"/>
        <w:outlineLvl w:val="9"/>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邹城市人民政府森林防火指挥部办公室关于做好2016-2017年度森林防火经费投入等数据统计上报的通知（邹森防指办</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5号）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森林防火大队应急管理队伍调查统计表</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森林防火应急救援队伍调查统计表</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森林防火应急救援物资储备调查统计表</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邹城市森林防火监控自动预警系统续建工程统计表</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邹城市林业局关于同意香城镇狼舞山修建森林防火道路占用林地的批复（邹林字</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34号）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邹城市人民政府森林防火指挥部关于转发省、市森防指办《关于切实做好春节和“元宵节”期间森林防火工作的紧急通知》的通知（邹森防指</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3号）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邹城市人民政府森林防火指挥部关于林区内禁止制售燃放“孔明灯”的紧急通知（邹森防指</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5号）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邹城市人民政府森林防火指挥部关于转发《国家森林防火指挥部关于切实做好“两会”期间森林防火工作的通知》的紧急通知（邹森防指</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6号）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邹城市人民政府森林防火指挥部关于印发《2016年全市森林防火工作要点》通知（邹森防指</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10号）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邹城市人民政府森林防火指挥部关于切实做好“五·一”期间森防工作的紧急通知（邹森防指</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12号）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邹城市人民政府森林防火指挥部关于建设全市森林防火监控自动预警系统的通知（邹森防指</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14号）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邹城市人民政府森林防火指挥部关于加强全市森林防火监控自动预警系统设施设备管护工作的通知（邹森防指</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18号）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邹城市人民政府森林防火指挥部关于围绕林火阻隔组织开展林区可燃物清理工作的通知（邹森防指</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19号）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邹城市人民政府森林防火指挥部关于印发《邹城市处置重大森林火灾应急预案》的通知（邹森防指</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14号）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邹城市人民政府森林防火指挥部关于印发《邹城市2017一2018年度森林防火工作实施方案》的通知（邹森防指</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15号）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邹城市人民政府森林防火指挥部关于实行林缘500米范围内农户、特殊人员、林区墓主签订森林防火责任书的通知（邹森防指</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17号）</w:t>
      </w:r>
    </w:p>
    <w:p>
      <w:pPr>
        <w:pStyle w:val="19"/>
        <w:keepNext w:val="0"/>
        <w:keepLines w:val="0"/>
        <w:pageBreakBefore w:val="0"/>
        <w:widowControl w:val="0"/>
        <w:numPr>
          <w:ilvl w:val="0"/>
          <w:numId w:val="21"/>
        </w:numPr>
        <w:kinsoku/>
        <w:wordWrap w:val="0"/>
        <w:overflowPunct/>
        <w:topLinePunct w:val="0"/>
        <w:autoSpaceDE/>
        <w:autoSpaceDN/>
        <w:bidi w:val="0"/>
        <w:adjustRightInd/>
        <w:snapToGrid/>
        <w:spacing w:line="360" w:lineRule="auto"/>
        <w:ind w:firstLine="560"/>
        <w:jc w:val="left"/>
        <w:textAlignment w:val="auto"/>
        <w:outlineLvl w:val="9"/>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邹城市人民政府森林防火指挥部关于实行市森林防火指挥部成员单位包保重点防火镇街和林场责任制的通知（邹森防指</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16号）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邹城市林业局关于钢山街道建设森林防火通道的批复（邹林字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30号）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邹城市人民政府森林防火指挥部关于做好春节期间森林防火工作的紧急通知（邹森防指</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5号）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邹城市人民政府森林防火指挥部关于转发省森防指办《关于加强值班调度及责任追究的通知》的通知（邹森防指</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9号）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邹城市人民政府森林防火指挥部关于开展森林防火队伍培训和演练的通知（邹森防指</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3号）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邹城市人民政府森林防火指挥部关于转发省、市森防指《关于切实做好森林防火工作的紧急通知》的通知（邹森防指</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7号）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邹城市人民政府森林防火指挥部关于加强＂十月初一＂森林防火的通知（邹森防指</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20号）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邹城市人民政府森林防火指挥部关于做好元旦期间森林防火工作的紧急通知（邹森防指</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23号）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邹城市人民政府森林防火指挥部关于印发《邹城市“强化责任落实、打好春季森林防火攻坚战”专项活动方案》的通知（邹森防指</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8号）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邹城市人民政府森林防火指挥部关于开展森林防火第四次专项督查的通知（邹森防指</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11号）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邹城市人民政府森林防火指挥部关于转发济宁市人民政府森林防火与林业有害生物防控指挥部《关于加强野外火源管理严防森林火灾发生的紧急通知》的通知（邹森防指</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22号）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2015-2017年有害生物防控责任状</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邹城市林业有害生物防控指挥部关于切实做好第三代美国白蛾防控工作的通知（邹林防指字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12号）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济宁市人民政府森林防火与林业有害生物防控指挥部办公室关于迅速开展美国白蛾防治工作的紧急通知（济森防指办</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7号）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邹城市林业有害生物防控指挥部关于立即开展第二代美国白蛾幼虫防治工作的紧急通知（邹林防指字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11号）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邹城市林业有害生物防控指挥部关于印发《邹城市2016年林业有害生物防控工作方案》的通知（邹林防指字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邹城市林业有害生物防控指挥部关于开展春尺蠖防控工作的通知（邹林防指字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2号）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邹城市林业有害生物防控指挥部关于印发《邹城市2016年松材线虫病防控工作实施方案》的通知（邹林防指字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4号）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邹城市林业有害生物防控指挥部关于开展越冬代方翅网蝽防治工作的通知（邹林防指字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5号）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邹城市林业有害生物防控指挥部关于做好蚜虫防治工作的紧急通知（邹林防指字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6号）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邹城市林业有害生物防控指挥部关于立即开展第一代美国白蛾防治工作的紧急通知（邹林防指字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7号）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邹城市林业有害生物防控指挥部关于印发《邹城市2016年城区美国白蛾防控实施方案》的通知（邹林防指字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8号）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邹城市林业有害生物防控指挥部办公室关于立即开展第二代美国白蛾防治工作的紧急通知（邹林防办指字</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邹城市林业有害生物防控指挥部关于切实做好林业有害生物监测工作的通知（邹林防指字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9号）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邹城市林业有害生物防控指挥部关于切实做好第二代美国白蛾防控工作的通知（邹林防指字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10号）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邹城市绿化委员会办公室关于印发《邹城市林地保护专项技法“百日行动”实施方案》的通知（邹绿办发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4号）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邹城市绿化委员会办公室关于转发《济宁市林业局关于开展“小散乱污”企业毁林占地违法专项整治活动的通知》的通知（邹绿办发</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2号）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邹城市人民政府办公室关于加强林地湿地保护管理工作的意见（邹政办发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森林资源管理目标责任书</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邹城市林业局关于规范林地管理工作的情况汇报（邹林呈字</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4号）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邹城市森林公安局打击破坏野生动物资源违法犯罪专项行动实施方案</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使用林地审核同意书</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邹城市绿化委员会办公室关于规范光伏发电和风电项目建设使用林地湿地的紧急通知（邹绿发</w:t>
      </w:r>
      <w:r>
        <w:rPr>
          <w:rFonts w:hint="eastAsia" w:ascii="Times New Roman" w:hAnsi="Times New Roman" w:eastAsia="华文宋体" w:cs="Times New Roman"/>
          <w:sz w:val="28"/>
          <w:szCs w:val="28"/>
          <w:lang w:eastAsia="zh-CN"/>
        </w:rPr>
        <w:t>﹝2015﹞</w:t>
      </w:r>
      <w:r>
        <w:rPr>
          <w:rFonts w:ascii="Times New Roman" w:hAnsi="Times New Roman" w:eastAsia="华文宋体" w:cs="Times New Roman"/>
          <w:sz w:val="28"/>
          <w:szCs w:val="28"/>
        </w:rPr>
        <w:t>11号）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森林资源保护宣传手册</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邹城市绿化委员会办公室关于印发《2016年全市林业重点工作考核办法》的通知（邹绿发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5号）</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防火宣传</w:t>
      </w:r>
    </w:p>
    <w:p>
      <w:pPr>
        <w:pStyle w:val="19"/>
        <w:numPr>
          <w:ilvl w:val="0"/>
          <w:numId w:val="21"/>
        </w:numPr>
        <w:spacing w:line="360" w:lineRule="auto"/>
        <w:ind w:firstLine="560"/>
        <w:jc w:val="left"/>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31" w:name="_Toc519373558"/>
      <w:r>
        <w:rPr>
          <w:rFonts w:hint="eastAsia"/>
        </w:rPr>
        <w:t xml:space="preserve">2.6 </w:t>
      </w:r>
      <w:r>
        <w:t>生物多样性保护</w:t>
      </w:r>
      <w:bookmarkEnd w:id="31"/>
    </w:p>
    <w:p>
      <w:pPr>
        <w:pStyle w:val="5"/>
      </w:pPr>
      <w:r>
        <w:rPr>
          <w:rFonts w:hint="eastAsia"/>
        </w:rPr>
        <w:t xml:space="preserve">2.6.1 </w:t>
      </w:r>
      <w:r>
        <w:t xml:space="preserve">指标要求 </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 xml:space="preserve">注重保护和选用留鸟、引鸟树种植物以及其他有利于增加生物多样性的乡土植物，保护各种野生动植物，构建生态廊道，营造良好的野生动物生活、栖息自然生境。 </w:t>
      </w:r>
    </w:p>
    <w:p>
      <w:pPr>
        <w:pStyle w:val="5"/>
      </w:pPr>
      <w:r>
        <w:rPr>
          <w:rFonts w:hint="eastAsia"/>
        </w:rPr>
        <w:t xml:space="preserve">2.6.2 </w:t>
      </w:r>
      <w:r>
        <w:t xml:space="preserve">方法步骤 </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根据各县市区提供相关档案资料，实地察看。</w:t>
      </w:r>
    </w:p>
    <w:p>
      <w:pPr>
        <w:pStyle w:val="5"/>
      </w:pPr>
      <w:r>
        <w:rPr>
          <w:rFonts w:hint="eastAsia"/>
        </w:rPr>
        <w:t xml:space="preserve">2.6.3 </w:t>
      </w:r>
      <w:r>
        <w:t>自查结果</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 xml:space="preserve">达标。邹城地处暖温带、半湿润区，属华北生物区系，众多的植被类型，为邹城市生物资源多样性和丰富性提供了优越的自然条件。 </w:t>
      </w:r>
    </w:p>
    <w:p>
      <w:pPr>
        <w:spacing w:line="360" w:lineRule="auto"/>
        <w:ind w:firstLine="560" w:firstLineChars="200"/>
        <w:rPr>
          <w:rFonts w:ascii="Times New Roman" w:hAnsi="Times New Roman" w:eastAsia="华文宋体" w:cs="Times New Roman"/>
          <w:color w:val="000000" w:themeColor="text1"/>
          <w:sz w:val="28"/>
          <w:szCs w:val="28"/>
          <w:shd w:val="pct10" w:color="auto" w:fill="FFFFFF"/>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自创建国家森林城市以来，邹城市</w:t>
      </w:r>
      <w:r>
        <w:rPr>
          <w:rFonts w:ascii="Times New Roman" w:hAnsi="Times New Roman" w:eastAsia="华文宋体" w:cs="Times New Roman"/>
          <w:sz w:val="28"/>
          <w:szCs w:val="28"/>
        </w:rPr>
        <w:t>从保护自然生态和</w:t>
      </w:r>
      <w:r>
        <w:rPr>
          <w:rFonts w:ascii="Times New Roman" w:hAnsi="Times New Roman" w:eastAsia="华文宋体" w:cs="Times New Roman"/>
          <w:color w:val="FF0000"/>
          <w:sz w:val="28"/>
          <w:szCs w:val="28"/>
        </w:rPr>
        <w:t>物种多样性的角度，</w:t>
      </w:r>
      <w:r>
        <w:rPr>
          <w:rFonts w:ascii="Times New Roman" w:hAnsi="Times New Roman" w:eastAsia="华文宋体" w:cs="Times New Roman"/>
          <w:sz w:val="28"/>
          <w:szCs w:val="28"/>
        </w:rPr>
        <w:t>选用乡土树种进行绿化，适地适树、科学配植；</w:t>
      </w:r>
      <w:r>
        <w:rPr>
          <w:rFonts w:ascii="Times New Roman" w:hAnsi="Times New Roman" w:eastAsia="华文宋体" w:cs="Times New Roman"/>
          <w:color w:val="000000" w:themeColor="text1"/>
          <w:sz w:val="28"/>
          <w:szCs w:val="28"/>
          <w14:textFill>
            <w14:solidFill>
              <w14:schemeClr w14:val="tx1"/>
            </w14:solidFill>
          </w14:textFill>
        </w:rPr>
        <w:t>并开展了一系列野生动物保护专项活动，为野生动植物生活、栖息提供了良好的自然生境。截至目前，邹城全市拥有市级自然保护区3个（峄山自然保护区、十八盘自然保护区、凫山生态自然保护区）；有国家级湿地公园（试点）1个（山东太平国家湿地公园）、省级湿地公园3个（香城湿地公园、北宿湿地公园、蓝陵湿地公园）、市级湿地公园4个（千泉湿地公园、孔家河湿地公园、上九山湿地公园、匡衡湖湿地公园）</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w:t>
      </w:r>
      <w:r>
        <w:rPr>
          <w:rFonts w:ascii="Times New Roman" w:hAnsi="Times New Roman" w:eastAsia="华文宋体" w:cs="Times New Roman"/>
          <w:color w:val="000000" w:themeColor="text1"/>
          <w:sz w:val="28"/>
          <w:szCs w:val="28"/>
          <w14:textFill>
            <w14:solidFill>
              <w14:schemeClr w14:val="tx1"/>
            </w14:solidFill>
          </w14:textFill>
        </w:rPr>
        <w:t>其中，湿地公园总面积为5053.66公顷，占总域面积的3.13%。各类保护区和湿地公园的建设，有效地保护了邹城市森林生态资源、湿地资源、古老植物群落和珍稀动植物群落，并形成了独特的人文景观资源。</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截至目前，邹城全市的植物和野生动物保护良好，种类繁多</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w:t>
      </w:r>
      <w:r>
        <w:rPr>
          <w:rFonts w:ascii="Times New Roman" w:hAnsi="Times New Roman" w:eastAsia="华文宋体" w:cs="Times New Roman"/>
          <w:color w:val="000000" w:themeColor="text1"/>
          <w:sz w:val="28"/>
          <w:szCs w:val="28"/>
          <w14:textFill>
            <w14:solidFill>
              <w14:schemeClr w14:val="tx1"/>
            </w14:solidFill>
          </w14:textFill>
        </w:rPr>
        <w:t>其中</w:t>
      </w:r>
      <w:r>
        <w:rPr>
          <w:rFonts w:hint="eastAsia" w:ascii="Times New Roman" w:hAnsi="Times New Roman" w:eastAsia="华文宋体" w:cs="Times New Roman"/>
          <w:color w:val="FF0000"/>
          <w:sz w:val="28"/>
          <w:szCs w:val="28"/>
          <w:lang w:val="en-US" w:eastAsia="zh-CN"/>
        </w:rPr>
        <w:t>发现极危物种青头潜鸭、近危物种震旦鸦雀；</w:t>
      </w:r>
      <w:r>
        <w:rPr>
          <w:rFonts w:ascii="Times New Roman" w:hAnsi="Times New Roman" w:eastAsia="华文宋体" w:cs="Times New Roman"/>
          <w:color w:val="000000" w:themeColor="text1"/>
          <w:sz w:val="28"/>
          <w:szCs w:val="28"/>
          <w14:textFill>
            <w14:solidFill>
              <w14:schemeClr w14:val="tx1"/>
            </w14:solidFill>
          </w14:textFill>
        </w:rPr>
        <w:t>国家重点保护野生动物 11 种，</w:t>
      </w:r>
      <w:r>
        <w:rPr>
          <w:rFonts w:ascii="Times New Roman" w:hAnsi="Times New Roman" w:eastAsia="华文宋体" w:cs="Times New Roman"/>
          <w:color w:val="FF0000"/>
          <w:sz w:val="28"/>
          <w:szCs w:val="28"/>
        </w:rPr>
        <w:t>主要为</w:t>
      </w:r>
      <w:r>
        <w:rPr>
          <w:rFonts w:ascii="Times New Roman" w:hAnsi="Times New Roman" w:eastAsia="华文宋体" w:cs="Times New Roman"/>
          <w:color w:val="000000" w:themeColor="text1"/>
          <w:sz w:val="28"/>
          <w:szCs w:val="28"/>
          <w14:textFill>
            <w14:solidFill>
              <w14:schemeClr w14:val="tx1"/>
            </w14:solidFill>
          </w14:textFill>
        </w:rPr>
        <w:t xml:space="preserve">桃花水母、小苇鳽、鸳鸯、苍鹰、雀鹰、白尾鹞、白头鹞、游隼、红隼、燕隼、红脚隼等；国家级保护植物 2 种，分别为银杏、野大豆；山东省珍稀植物6 种，分别为厚壳树、白花泡桐、楸叶泡桐、陕西荚蒾、美丽茶藨子、黄檀。 </w:t>
      </w:r>
    </w:p>
    <w:p>
      <w:pPr>
        <w:pStyle w:val="5"/>
      </w:pPr>
      <w:r>
        <w:rPr>
          <w:rFonts w:hint="eastAsia"/>
        </w:rPr>
        <w:t xml:space="preserve">2.6.4 </w:t>
      </w:r>
      <w:r>
        <w:t>支撑材料</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2017年邹城市自然保护区名录</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邹城市湿地公园建设统计一览表</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邹城市野生动物名录</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珍稀濒危林木种质汇总表</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邹城市林业局关于印发《打击破坏野生动物资源违法犯罪专项行动实施方案》的通知（邹林字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﹝2015﹞</w:t>
      </w:r>
      <w:r>
        <w:rPr>
          <w:rFonts w:hint="eastAsia" w:ascii="Times New Roman" w:hAnsi="Times New Roman" w:eastAsia="华文宋体" w:cs="Times New Roman"/>
          <w:color w:val="000000" w:themeColor="text1"/>
          <w:sz w:val="28"/>
          <w:szCs w:val="28"/>
          <w14:textFill>
            <w14:solidFill>
              <w14:schemeClr w14:val="tx1"/>
            </w14:solidFill>
          </w14:textFill>
        </w:rPr>
        <w:t>2号）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邹城市林业局关于转发济宁市林业局《关于开展陆生野生动物驯养繁殖清理整顿工作的通知》的通知（邹林字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﹝2015﹞</w:t>
      </w:r>
      <w:r>
        <w:rPr>
          <w:rFonts w:hint="eastAsia" w:ascii="Times New Roman" w:hAnsi="Times New Roman" w:eastAsia="华文宋体" w:cs="Times New Roman"/>
          <w:color w:val="000000" w:themeColor="text1"/>
          <w:sz w:val="28"/>
          <w:szCs w:val="28"/>
          <w14:textFill>
            <w14:solidFill>
              <w14:schemeClr w14:val="tx1"/>
            </w14:solidFill>
          </w14:textFill>
        </w:rPr>
        <w:t>20号）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邹城市食品安全委员会办公室关于开展全市毛皮动物养殖收购情况调查的通知（邹食安办发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2号）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邹城市林业局关天加强野生动物资源保护工作的通告</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邹城市机构编制委员会关于加强全市自然保护区管理有关事宜的通知（邹编</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6号）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邹城市林业局关于转发山东省林业厅</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邹城市湿地保护管理机构情况表</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山东省林业厅关于开展省级林木种质资源库确定及推荐申报国家种质资源库工作的通知（鲁林种质字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64号）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林木种质资源调查简报</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山东省林木种质资源调查成果汇总表</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山东省林业厅关于印发《山东省林木种质资源调查绩效考核办法》的通知（鲁林种质发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﹝2012﹞</w:t>
      </w:r>
      <w:r>
        <w:rPr>
          <w:rFonts w:hint="eastAsia" w:ascii="Times New Roman" w:hAnsi="Times New Roman" w:eastAsia="华文宋体" w:cs="Times New Roman"/>
          <w:color w:val="000000" w:themeColor="text1"/>
          <w:sz w:val="28"/>
          <w:szCs w:val="28"/>
          <w14:textFill>
            <w14:solidFill>
              <w14:schemeClr w14:val="tx1"/>
            </w14:solidFill>
          </w14:textFill>
        </w:rPr>
        <w:t>112号）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山东省林业厅关于召开林木种质资源数据采集软件使用培训会议的通知（鲁林种质字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﹝2012﹞</w:t>
      </w:r>
      <w:r>
        <w:rPr>
          <w:rFonts w:hint="eastAsia" w:ascii="Times New Roman" w:hAnsi="Times New Roman" w:eastAsia="华文宋体" w:cs="Times New Roman"/>
          <w:color w:val="000000" w:themeColor="text1"/>
          <w:sz w:val="28"/>
          <w:szCs w:val="28"/>
          <w14:textFill>
            <w14:solidFill>
              <w14:schemeClr w14:val="tx1"/>
            </w14:solidFill>
          </w14:textFill>
        </w:rPr>
        <w:t>426号）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野生林木种质资源种质汇总表</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引进树种种质资源汇总表</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栽培树种种质资源汇总表</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邹城市林业局关于同意邹城市旺凤鸣生态园有限公司办理《驯养繁殖许可证》和《经营利用许可证》的行政许可决定（邹林字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43号）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邹城市林业局关于同意邹城市希望特种动物养殖场办理《驯养繁殖许可证》和《经营利用许可证》的行政许可决定（邹林字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37号）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邹城市林业局关于同意邹城市祥欣龟类动物养殖园办理《驯养繁殖许可证》和《经营利用许可证》的行政许可决定（邹林字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39号）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凫山自然保护区执法巡查案件移交处理制度</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邹城市林业局关于成立林木种质资源调查领导小组和业务调查组的通知（邹林字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﹝2011﹞</w:t>
      </w:r>
      <w:r>
        <w:rPr>
          <w:rFonts w:hint="eastAsia" w:ascii="Times New Roman" w:hAnsi="Times New Roman" w:eastAsia="华文宋体" w:cs="Times New Roman"/>
          <w:color w:val="000000" w:themeColor="text1"/>
          <w:sz w:val="28"/>
          <w:szCs w:val="28"/>
          <w14:textFill>
            <w14:solidFill>
              <w14:schemeClr w14:val="tx1"/>
            </w14:solidFill>
          </w14:textFill>
        </w:rPr>
        <w:t>42号）</w:t>
      </w:r>
    </w:p>
    <w:p>
      <w:pPr>
        <w:pStyle w:val="19"/>
        <w:numPr>
          <w:ilvl w:val="0"/>
          <w:numId w:val="22"/>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照片</w:t>
      </w:r>
    </w:p>
    <w:p>
      <w:pPr>
        <w:pStyle w:val="4"/>
      </w:pPr>
      <w:bookmarkStart w:id="32" w:name="_Toc519373559"/>
      <w:r>
        <w:rPr>
          <w:rFonts w:hint="eastAsia"/>
        </w:rPr>
        <w:t xml:space="preserve">2.7 </w:t>
      </w:r>
      <w:r>
        <w:t>林地土壤保育</w:t>
      </w:r>
      <w:bookmarkEnd w:id="32"/>
    </w:p>
    <w:p>
      <w:pPr>
        <w:pStyle w:val="5"/>
      </w:pPr>
      <w:r>
        <w:rPr>
          <w:rFonts w:hint="eastAsia"/>
        </w:rPr>
        <w:t xml:space="preserve">2.7.1 </w:t>
      </w:r>
      <w:r>
        <w:t xml:space="preserve">指标要求 </w:t>
      </w:r>
    </w:p>
    <w:p>
      <w:pPr>
        <w:spacing w:line="360" w:lineRule="auto"/>
        <w:ind w:firstLine="567"/>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 xml:space="preserve">积极改善与保护城市森林土壤和湿地环境，尽量利用木质材料等有机覆盖物保育土壤，减少城市水土流失和粉尘侵害。 </w:t>
      </w:r>
    </w:p>
    <w:p>
      <w:pPr>
        <w:pStyle w:val="5"/>
      </w:pPr>
      <w:r>
        <w:rPr>
          <w:rFonts w:hint="eastAsia"/>
        </w:rPr>
        <w:t xml:space="preserve">2.7.2 </w:t>
      </w:r>
      <w:r>
        <w:t xml:space="preserve">方法步骤 </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 xml:space="preserve">实地调查与资料收集。 </w:t>
      </w:r>
    </w:p>
    <w:p>
      <w:pPr>
        <w:pStyle w:val="5"/>
      </w:pPr>
      <w:r>
        <w:rPr>
          <w:rFonts w:hint="eastAsia"/>
        </w:rPr>
        <w:t xml:space="preserve">2.7.3 </w:t>
      </w:r>
      <w:r>
        <w:t xml:space="preserve">自查结果     </w:t>
      </w:r>
    </w:p>
    <w:p>
      <w:pPr>
        <w:autoSpaceDE w:val="0"/>
        <w:autoSpaceDN w:val="0"/>
        <w:adjustRightInd w:val="0"/>
        <w:ind w:firstLine="560" w:firstLineChars="200"/>
        <w:rPr>
          <w:rFonts w:ascii="Times New Roman" w:hAnsi="Times New Roman" w:eastAsia="宋体" w:cs="Times New Roman"/>
          <w:kern w:val="0"/>
          <w:sz w:val="28"/>
          <w:szCs w:val="28"/>
        </w:rPr>
      </w:pPr>
      <w:r>
        <w:rPr>
          <w:rFonts w:ascii="Times New Roman" w:hAnsi="Times New Roman" w:eastAsia="华文宋体" w:cs="Times New Roman"/>
          <w:color w:val="000000" w:themeColor="text1"/>
          <w:sz w:val="28"/>
          <w:szCs w:val="28"/>
          <w14:textFill>
            <w14:solidFill>
              <w14:schemeClr w14:val="tx1"/>
            </w14:solidFill>
          </w14:textFill>
        </w:rPr>
        <w:t>达标。自创建国家森林城市以来，邹城市在城市绿化建设中十分注重土壤环境改善，主要通过以下几方面工作加强林地土壤保育和湿地环境保护：</w:t>
      </w:r>
      <w:r>
        <w:rPr>
          <w:rFonts w:ascii="Times New Roman" w:hAnsi="Times New Roman" w:eastAsia="宋体" w:cs="Times New Roman"/>
          <w:kern w:val="0"/>
          <w:sz w:val="28"/>
          <w:szCs w:val="28"/>
        </w:rPr>
        <w:t>一是</w:t>
      </w:r>
      <w:r>
        <w:rPr>
          <w:rFonts w:ascii="Times New Roman" w:hAnsi="Times New Roman" w:eastAsia="华文宋体" w:cs="Times New Roman"/>
          <w:sz w:val="28"/>
          <w:szCs w:val="28"/>
        </w:rPr>
        <w:t>充分利用城市绿化的枯枝败叶、修剪物、杂草等有机剩余物，作为林下和土壤覆盖物，保护土壤，并</w:t>
      </w:r>
      <w:r>
        <w:rPr>
          <w:rFonts w:ascii="Times New Roman" w:hAnsi="Times New Roman" w:eastAsia="宋体" w:cs="Times New Roman"/>
          <w:kern w:val="0"/>
          <w:sz w:val="28"/>
          <w:szCs w:val="28"/>
        </w:rPr>
        <w:t>通过深耕整地、增施有机肥等措施，</w:t>
      </w:r>
      <w:r>
        <w:rPr>
          <w:rFonts w:ascii="Times New Roman" w:hAnsi="Times New Roman" w:eastAsia="华文宋体" w:cs="Times New Roman"/>
          <w:sz w:val="28"/>
          <w:szCs w:val="28"/>
        </w:rPr>
        <w:t>改善土壤理化性状</w:t>
      </w:r>
      <w:r>
        <w:rPr>
          <w:rFonts w:hint="eastAsia" w:ascii="Times New Roman" w:hAnsi="Times New Roman" w:eastAsia="华文宋体" w:cs="Times New Roman"/>
          <w:sz w:val="28"/>
          <w:szCs w:val="28"/>
          <w:lang w:eastAsia="zh-CN"/>
        </w:rPr>
        <w:t>；</w:t>
      </w:r>
      <w:r>
        <w:rPr>
          <w:rFonts w:ascii="Times New Roman" w:hAnsi="Times New Roman" w:eastAsia="华文宋体" w:cs="Times New Roman"/>
          <w:color w:val="000000" w:themeColor="text1"/>
          <w:sz w:val="28"/>
          <w:szCs w:val="28"/>
          <w14:textFill>
            <w14:solidFill>
              <w14:schemeClr w14:val="tx1"/>
            </w14:solidFill>
          </w14:textFill>
        </w:rPr>
        <w:t>二是全市</w:t>
      </w:r>
      <w:r>
        <w:rPr>
          <w:rFonts w:ascii="Times New Roman" w:hAnsi="Times New Roman" w:eastAsia="宋体" w:cs="Times New Roman"/>
          <w:kern w:val="0"/>
          <w:sz w:val="28"/>
          <w:szCs w:val="28"/>
        </w:rPr>
        <w:t>陆续开展水土保持治理项目</w:t>
      </w:r>
      <w:r>
        <w:rPr>
          <w:rFonts w:hint="eastAsia" w:ascii="Times New Roman" w:hAnsi="Times New Roman" w:eastAsia="宋体" w:cs="Times New Roman"/>
          <w:color w:val="FF0000"/>
          <w:kern w:val="0"/>
          <w:sz w:val="28"/>
          <w:szCs w:val="28"/>
          <w:lang w:eastAsia="zh-CN"/>
        </w:rPr>
        <w:t>——</w:t>
      </w:r>
      <w:r>
        <w:rPr>
          <w:rFonts w:ascii="Times New Roman" w:hAnsi="Times New Roman" w:eastAsia="宋体" w:cs="Times New Roman"/>
          <w:color w:val="FF0000"/>
          <w:kern w:val="0"/>
          <w:sz w:val="28"/>
          <w:szCs w:val="28"/>
        </w:rPr>
        <w:t>如</w:t>
      </w:r>
      <w:r>
        <w:rPr>
          <w:rFonts w:ascii="Times New Roman" w:hAnsi="Times New Roman" w:eastAsia="宋体" w:cs="Times New Roman"/>
          <w:kern w:val="0"/>
          <w:sz w:val="28"/>
          <w:szCs w:val="28"/>
        </w:rPr>
        <w:t>石门山生态清洁型小流域综合治理工程、凤凰山生态清洁型小流域综合治理工程，加强流域内的生态治理，综合治理水土流失；三是开展林业生态修复与保护建设工程，通过退耕还林还果、荒山绿化等</w:t>
      </w:r>
      <w:r>
        <w:rPr>
          <w:rFonts w:hint="eastAsia" w:ascii="Times New Roman" w:hAnsi="Times New Roman" w:eastAsia="宋体" w:cs="Times New Roman"/>
          <w:color w:val="FF0000"/>
          <w:kern w:val="0"/>
          <w:sz w:val="28"/>
          <w:szCs w:val="28"/>
          <w:lang w:val="en-US" w:eastAsia="zh-CN"/>
        </w:rPr>
        <w:t>工程</w:t>
      </w:r>
      <w:r>
        <w:rPr>
          <w:rFonts w:ascii="Times New Roman" w:hAnsi="Times New Roman" w:eastAsia="宋体" w:cs="Times New Roman"/>
          <w:kern w:val="0"/>
          <w:sz w:val="28"/>
          <w:szCs w:val="28"/>
        </w:rPr>
        <w:t>措施，提高林地土壤质量，减少水土流失和粉尘侵害。</w:t>
      </w:r>
      <w:r>
        <w:rPr>
          <w:rFonts w:ascii="Times New Roman" w:hAnsi="Times New Roman" w:eastAsia="华文宋体" w:cs="Times New Roman"/>
          <w:color w:val="000000" w:themeColor="text1"/>
          <w:sz w:val="28"/>
          <w:szCs w:val="28"/>
          <w14:textFill>
            <w14:solidFill>
              <w14:schemeClr w14:val="tx1"/>
            </w14:solidFill>
          </w14:textFill>
        </w:rPr>
        <w:t xml:space="preserve">                                                </w:t>
      </w:r>
    </w:p>
    <w:p>
      <w:pPr>
        <w:pStyle w:val="5"/>
      </w:pPr>
      <w:r>
        <w:rPr>
          <w:rFonts w:hint="eastAsia"/>
        </w:rPr>
        <w:t xml:space="preserve">2.7.4 </w:t>
      </w:r>
      <w:r>
        <w:t>支撑材料</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近五年全市水土流失情况说明</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2017年全市水土流失治理情况统计表</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2016年全市水土流失治理情况统计表</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2015年全市水土流失治理情况统计表</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2017年度邹城市城区裸露土地治理及城区缺损、病死苗木补植项目施工竞争性磋商响应文件</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2017年度邹城市城区裸露土地治理及城区缺损、病死苗木补植项目施工清单、控制价</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2016年省级水土保持综合治理项目邹城市凤凰山生态清洁型小流域综合治理工程施工招标文件</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2016年省级水土保持综合治理项目邹城市凤凰山生态清洁型小流域综合治理工程施工合同</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2015年石门山生态清洁型小流域综合治理工程施工合同</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2015年省级水土保持治理项目石门山生态清洁型小流域综合治理工程招标文件</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2015年石门山生态清洁型小流域综合治理工程实施方案</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城区公共裸露土地治理（虎山路绿化）招标控制价</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邹城市绿化委员会关于实施邹城市2016年林业生态修复与保护建设试点项目的通知（邹绿发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19号）</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邹城市人民政府关于同意邹城市林地保护利用(2010-2020)修编规划的批复（邹政字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31号）</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邹城市城区裸露土地治理（岚济路、城区、铁山公园、东城区燕京大道、文化广场绿化）合同文件</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邹城市城区裸露土地治理（西外环绿化工程）合同文件</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邹城市裸露土地治理（太平东路）工程建设工程设计合同</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邹城市唐王河文博苑东至左岸西裸露土地治理工程合同文件</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太平东路等裸露土地治理续建项目施工合同文件</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新型保水剂在荒山造林中的推广应用研究</w:t>
      </w:r>
    </w:p>
    <w:p>
      <w:pPr>
        <w:numPr>
          <w:ilvl w:val="0"/>
          <w:numId w:val="23"/>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照片</w:t>
      </w:r>
    </w:p>
    <w:p>
      <w:pPr>
        <w:pStyle w:val="4"/>
      </w:pPr>
      <w:bookmarkStart w:id="33" w:name="_Toc519373560"/>
      <w:r>
        <w:rPr>
          <w:rFonts w:hint="eastAsia"/>
        </w:rPr>
        <w:t xml:space="preserve">2.8 </w:t>
      </w:r>
      <w:r>
        <w:t>森林抚育与林木管理</w:t>
      </w:r>
      <w:bookmarkEnd w:id="33"/>
    </w:p>
    <w:p>
      <w:pPr>
        <w:pStyle w:val="5"/>
      </w:pPr>
      <w:r>
        <w:rPr>
          <w:rFonts w:hint="eastAsia"/>
        </w:rPr>
        <w:t xml:space="preserve">2.8.1 </w:t>
      </w:r>
      <w:r>
        <w:t xml:space="preserve">指标要求 </w:t>
      </w:r>
    </w:p>
    <w:p>
      <w:pPr>
        <w:pStyle w:val="22"/>
        <w:ind w:firstLine="565" w:firstLineChars="202"/>
        <w:jc w:val="left"/>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 xml:space="preserve">采取近自然的抚育管理方式，不搞过度的整齐划一和对植物进行过度修剪。 </w:t>
      </w:r>
    </w:p>
    <w:p>
      <w:pPr>
        <w:pStyle w:val="5"/>
      </w:pPr>
      <w:r>
        <w:rPr>
          <w:rFonts w:hint="eastAsia"/>
        </w:rPr>
        <w:t xml:space="preserve">2.8.2 </w:t>
      </w:r>
      <w:r>
        <w:t>方法步骤</w:t>
      </w:r>
    </w:p>
    <w:p>
      <w:pPr>
        <w:pStyle w:val="22"/>
        <w:ind w:left="360" w:firstLine="204" w:firstLineChars="73"/>
        <w:jc w:val="left"/>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 xml:space="preserve">参考资料和实地调查。 </w:t>
      </w:r>
    </w:p>
    <w:p>
      <w:pPr>
        <w:pStyle w:val="5"/>
        <w:rPr>
          <w:color w:val="FF0000"/>
        </w:rPr>
      </w:pPr>
      <w:r>
        <w:rPr>
          <w:rFonts w:hint="eastAsia"/>
        </w:rPr>
        <w:t xml:space="preserve">2.8.3 </w:t>
      </w:r>
      <w:r>
        <w:t xml:space="preserve">自查结果 </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达标。邹城市以创建“国家森林城市”为契机，不断探索和落实近自然保护和发展森林资源的方式，以确保森林资源健康发展。市政府积极落实近自然森林抚育工作，避免过度修剪，改善林内通风与光照状况及林木生长条件；调节林分密度，减少树冠火、雪压和风害的受灾程度，防止病虫害蔓延；采用不同的抚育方式促进林木生长，提高林分质量——防护林以生态疏伐、卫生伐、补植、割灌除草为主；用材林以修枝、间伐、浇水、施肥为主；同时强化管理，有效控制森林资源消耗，合理控制和使用年度森林采伐限额。</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创森期间，邹城市按照适度扩大森林覆盖，重点提升森林质量的总体思路，全面开展低质低效林改造，提高森林质量。2016-2018年，邹城市共完成抚育森林面积11955.7公顷，其中2016年全市下达抚育计划面积4860.5公顷，完成5246.2公顷，完成百分比为107.9%；2017年计划抚育面积3575.1公顷，完成3927公顷，完成百分比109.8%；2018年计划抚育面积2449.2公顷，完成2782.5公顷，完成百分比113.6%。</w:t>
      </w:r>
    </w:p>
    <w:p>
      <w:pPr>
        <w:pStyle w:val="5"/>
      </w:pPr>
      <w:r>
        <w:rPr>
          <w:rFonts w:hint="eastAsia"/>
        </w:rPr>
        <w:t xml:space="preserve">2.8.4 </w:t>
      </w:r>
      <w:r>
        <w:t>支撑材料</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邹城市绿化委员会关于实施中幼林抚育和低效林改造工程的通知</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邹城市绿化委员会关于2016年中幼林抚育检查情况通报</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邹城市绿化委员会关于2017年中幼林抚育检查情况通报</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邹城市绿化委员会关于2018年中幼林抚育检查情况通报</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邹城市林业局关于呈报《邹城市2015年森林抚育补贴项目作业设计》的请示（邹林呈字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邹城市林业局关于呈报《邹城市2015年森林抚育补贴项目实施方案》的请示（邹林呈字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4号）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邹城市林业局关于呈报《邹城市2016年森林抚育补贴项目作业设计》的请示（邹林呈字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6号）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济宁市林业局关于2016年中央财政森林抚育补贴项目作业设计的批复（济林林字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12号）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山东省林业厅关于开展2016年度中央财政森林抚育补贴县级自查工作的通知（鲁林造函</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11号）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山东省林业厅关于统计上报2016年度中央财政补贴森林抚育任务完成情况的通知（鲁林造函</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5号）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济宁市林业局关于转发《山东省林业厅关于统计上报2016年度中央财政补贴森林抚育任务完成情况的通知》的通知</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邹城市2016年中央财政森林抚育补贴项目作业设计论证意见</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邹城市林业局2016年邹城市森林抚育补贴工作自查验收报告</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邹城市林业局关于对我市2016年度中央财政森林抚育补贴工作复查的申请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山东省林业厅关于2016年度中央财政森林抚育补贴省级核查验收情况的通报（鲁林造字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350号）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济宁市林业局关于转发《山东省林业厅关于开展2014年度中央财政造林补贴和2015年度中央财政森林抚育补贴县级自查和市级复查工作的通知》的通知（济林林字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29号）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邹城市林业局关于做好2014年度中央财政造林补贴和2015年度森林抚育补贴项目迎查工作的通知</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邹城市林业局关于邹城市2015年度森林抚育补贴工作自查验收报告</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邹城市林业局关于拨付2015-2016年度森林抚育资金的通知（邹林字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48号）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山东省林业厅关于加强和规范林木采伐管理工作的意见（鲁林政字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304号）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国家林业局关于切实加强和严格规范树木采挖移植管理的通知（林资发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﹝2013﹞</w:t>
      </w:r>
      <w:r>
        <w:rPr>
          <w:rFonts w:hint="eastAsia" w:ascii="Times New Roman" w:hAnsi="Times New Roman" w:eastAsia="华文宋体" w:cs="Times New Roman"/>
          <w:color w:val="000000" w:themeColor="text1"/>
          <w:sz w:val="28"/>
          <w:szCs w:val="28"/>
          <w14:textFill>
            <w14:solidFill>
              <w14:schemeClr w14:val="tx1"/>
            </w14:solidFill>
          </w14:textFill>
        </w:rPr>
        <w:t>186号）</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2017年林业统计年报</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2016年林业统计年报</w:t>
      </w:r>
    </w:p>
    <w:p>
      <w:pPr>
        <w:pStyle w:val="19"/>
        <w:numPr>
          <w:ilvl w:val="0"/>
          <w:numId w:val="24"/>
        </w:numPr>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照片</w:t>
      </w:r>
    </w:p>
    <w:p>
      <w:pPr>
        <w:pStyle w:val="3"/>
      </w:pPr>
      <w:bookmarkStart w:id="34" w:name="_Toc519373561"/>
      <w:r>
        <w:rPr>
          <w:rFonts w:hint="eastAsia"/>
        </w:rPr>
        <w:t xml:space="preserve">3 </w:t>
      </w:r>
      <w:r>
        <w:t>城市林业经济</w:t>
      </w:r>
      <w:bookmarkEnd w:id="34"/>
    </w:p>
    <w:p>
      <w:pPr>
        <w:pStyle w:val="4"/>
      </w:pPr>
      <w:bookmarkStart w:id="35" w:name="_Toc519373562"/>
      <w:r>
        <w:rPr>
          <w:rFonts w:hint="eastAsia"/>
        </w:rPr>
        <w:t xml:space="preserve">3.1 </w:t>
      </w:r>
      <w:r>
        <w:t>生态旅游</w:t>
      </w:r>
      <w:bookmarkEnd w:id="35"/>
    </w:p>
    <w:p>
      <w:pPr>
        <w:pStyle w:val="5"/>
      </w:pPr>
      <w:r>
        <w:rPr>
          <w:rFonts w:hint="eastAsia"/>
        </w:rPr>
        <w:t xml:space="preserve">3.1.1 </w:t>
      </w:r>
      <w:r>
        <w:t>指标要求</w:t>
      </w:r>
    </w:p>
    <w:p>
      <w:pPr>
        <w:pStyle w:val="22"/>
        <w:spacing w:line="360" w:lineRule="auto"/>
        <w:ind w:firstLine="565" w:firstLineChars="202"/>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加强森林公园、湿地公园和自然保护区的基础设施建设，注重郊区乡村绿化、美化建设与健身、休闲、采摘、观光等多种形式的生态旅游相结合，积极发展森林人家，建</w:t>
      </w:r>
      <w:r>
        <w:rPr>
          <w:rFonts w:hint="eastAsia" w:ascii="Times New Roman" w:hAnsi="Times New Roman" w:eastAsia="华文宋体" w:cs="Times New Roman"/>
          <w:color w:val="000000" w:themeColor="text1"/>
          <w:sz w:val="28"/>
          <w:szCs w:val="28"/>
          <w:lang w:val="en-US" w:eastAsia="zh-CN"/>
          <w14:textFill>
            <w14:solidFill>
              <w14:schemeClr w14:val="tx1"/>
            </w14:solidFill>
          </w14:textFill>
        </w:rPr>
        <w:t>设</w:t>
      </w:r>
      <w:r>
        <w:rPr>
          <w:rFonts w:ascii="Times New Roman" w:hAnsi="Times New Roman" w:eastAsia="华文宋体" w:cs="Times New Roman"/>
          <w:color w:val="000000" w:themeColor="text1"/>
          <w:sz w:val="28"/>
          <w:szCs w:val="28"/>
          <w14:textFill>
            <w14:solidFill>
              <w14:schemeClr w14:val="tx1"/>
            </w14:solidFill>
          </w14:textFill>
        </w:rPr>
        <w:t>特色乡村生态休闲村镇。</w:t>
      </w:r>
    </w:p>
    <w:p>
      <w:pPr>
        <w:pStyle w:val="5"/>
      </w:pPr>
      <w:r>
        <w:rPr>
          <w:rFonts w:hint="eastAsia"/>
        </w:rPr>
        <w:t xml:space="preserve">3.1.2 </w:t>
      </w:r>
      <w:r>
        <w:t>方法步骤</w:t>
      </w:r>
    </w:p>
    <w:p>
      <w:pPr>
        <w:pStyle w:val="22"/>
        <w:spacing w:line="360" w:lineRule="auto"/>
        <w:ind w:left="360" w:firstLine="204" w:firstLineChars="73"/>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根据提供数据分析休闲旅游场所数量与产值。</w:t>
      </w:r>
    </w:p>
    <w:p>
      <w:pPr>
        <w:pStyle w:val="5"/>
      </w:pPr>
      <w:r>
        <w:rPr>
          <w:rFonts w:hint="eastAsia"/>
        </w:rPr>
        <w:t xml:space="preserve">3.1.3 </w:t>
      </w:r>
      <w:r>
        <w:t>自查结果</w:t>
      </w:r>
    </w:p>
    <w:p>
      <w:pPr>
        <w:autoSpaceDE w:val="0"/>
        <w:autoSpaceDN w:val="0"/>
        <w:adjustRightInd w:val="0"/>
        <w:ind w:firstLine="560" w:firstLineChars="200"/>
        <w:rPr>
          <w:rFonts w:ascii="Times New Roman" w:hAnsi="Times New Roman" w:eastAsia="华文宋体" w:cs="Times New Roman"/>
          <w:color w:val="FF0000"/>
          <w:kern w:val="0"/>
          <w:sz w:val="28"/>
          <w:szCs w:val="28"/>
        </w:rPr>
      </w:pPr>
      <w:r>
        <w:rPr>
          <w:rFonts w:ascii="Times New Roman" w:hAnsi="Times New Roman" w:eastAsia="华文宋体" w:cs="Times New Roman"/>
          <w:color w:val="000000" w:themeColor="text1"/>
          <w:sz w:val="28"/>
          <w:szCs w:val="28"/>
          <w14:textFill>
            <w14:solidFill>
              <w14:schemeClr w14:val="tx1"/>
            </w14:solidFill>
          </w14:textFill>
        </w:rPr>
        <w:t>达标。自创建国家森林城市以来，邹城市充分利用本市资源优势，依托森林公园、湿地公园及乡村生态旅游区为平台，</w:t>
      </w:r>
      <w:r>
        <w:rPr>
          <w:rFonts w:ascii="Times New Roman" w:hAnsi="Times New Roman" w:eastAsia="华文宋体" w:cs="Times New Roman"/>
          <w:color w:val="000000" w:themeColor="text1"/>
          <w:kern w:val="0"/>
          <w:sz w:val="28"/>
          <w:szCs w:val="28"/>
          <w14:textFill>
            <w14:solidFill>
              <w14:schemeClr w14:val="tx1"/>
            </w14:solidFill>
          </w14:textFill>
        </w:rPr>
        <w:t>打造集休闲观光、果品采摘、健身娱乐、文化体验于一体的特色休闲生态旅游区。</w:t>
      </w:r>
      <w:r>
        <w:rPr>
          <w:rFonts w:ascii="Times New Roman" w:hAnsi="Times New Roman" w:eastAsia="华文宋体" w:cs="Times New Roman"/>
          <w:color w:val="000000" w:themeColor="text1"/>
          <w:sz w:val="28"/>
          <w:szCs w:val="28"/>
          <w14:textFill>
            <w14:solidFill>
              <w14:schemeClr w14:val="tx1"/>
            </w14:solidFill>
          </w14:textFill>
        </w:rPr>
        <w:t>依托邹城市森林公园，完善基础配套设施，高标准打造森林公园环境，加大森林旅游业的发展。依托农业资源、山地资源、水资源、特色村落资源等，将邹东山区城前镇、田黄镇、张庄镇、香城镇、大束镇，邹西郭里、石墙、中心店等，南部峄山、看庄等乡镇打造成乡村旅游产品集群，面向周边地区及京沪高铁沿线，发展乡村休闲度假旅游。以</w:t>
      </w:r>
      <w:r>
        <w:rPr>
          <w:rFonts w:ascii="Times New Roman" w:hAnsi="Times New Roman" w:eastAsia="华文宋体" w:cs="Times New Roman"/>
          <w:color w:val="000000" w:themeColor="text1"/>
          <w:kern w:val="0"/>
          <w:sz w:val="28"/>
          <w:szCs w:val="28"/>
          <w14:textFill>
            <w14:solidFill>
              <w14:schemeClr w14:val="tx1"/>
            </w14:solidFill>
          </w14:textFill>
        </w:rPr>
        <w:t>促进农民就业增收为目标，把乡村旅游业培植成为农村经济发展支柱产业和农民增收新亮点，提升“好客山东”品牌内涵。</w:t>
      </w:r>
    </w:p>
    <w:p>
      <w:pPr>
        <w:autoSpaceDE w:val="0"/>
        <w:autoSpaceDN w:val="0"/>
        <w:adjustRightInd w:val="0"/>
        <w:ind w:firstLine="560" w:firstLineChars="200"/>
        <w:rPr>
          <w:rFonts w:ascii="Times New Roman" w:hAnsi="Times New Roman" w:eastAsia="宋体" w:cs="Times New Roman"/>
          <w:color w:val="000000" w:themeColor="text1"/>
          <w:kern w:val="0"/>
          <w:sz w:val="28"/>
          <w:szCs w:val="28"/>
          <w14:textFill>
            <w14:solidFill>
              <w14:schemeClr w14:val="tx1"/>
            </w14:solidFill>
          </w14:textFill>
        </w:rPr>
      </w:pPr>
      <w:r>
        <w:rPr>
          <w:rFonts w:ascii="Times New Roman" w:hAnsi="Times New Roman" w:eastAsia="华文宋体" w:cs="Times New Roman"/>
          <w:color w:val="000000"/>
          <w:sz w:val="28"/>
          <w:szCs w:val="28"/>
        </w:rPr>
        <w:t>据统计，2016年，邹城市共</w:t>
      </w:r>
      <w:r>
        <w:rPr>
          <w:rFonts w:ascii="Times New Roman" w:hAnsi="Times New Roman" w:eastAsia="华文宋体" w:cs="Times New Roman"/>
          <w:color w:val="000000" w:themeColor="text1"/>
          <w:sz w:val="28"/>
          <w:szCs w:val="28"/>
          <w14:textFill>
            <w14:solidFill>
              <w14:schemeClr w14:val="tx1"/>
            </w14:solidFill>
          </w14:textFill>
        </w:rPr>
        <w:t>建成旅游特色村8个，旅游强乡镇1个（唐村镇），山东省农业旅游示范点3个，山东省精品采摘园12个，好客人家星级农家乐共18个，其中五星级4家，四星级5家，三星级9家。2017年邹城市共建成旅游特色村8个，旅游强乡镇1个（千泉街道），山东省农业旅游示范点3个，山东省精品采摘园6个，好客人家星级农家乐共11个，其中五星级1家，四星级7家，三星级3家。</w:t>
      </w:r>
      <w:r>
        <w:rPr>
          <w:rFonts w:hint="eastAsia" w:ascii="Times New Roman" w:hAnsi="Times New Roman" w:eastAsia="华文宋体" w:cs="Times New Roman"/>
          <w:color w:val="000000" w:themeColor="text1"/>
          <w:sz w:val="28"/>
          <w:szCs w:val="28"/>
          <w:lang w:val="en-US" w:eastAsia="zh-CN"/>
          <w14:textFill>
            <w14:solidFill>
              <w14:schemeClr w14:val="tx1"/>
            </w14:solidFill>
          </w14:textFill>
        </w:rPr>
        <w:t>2016-2017年建成全国生态文化村1个、省级生态文化村2个。</w:t>
      </w:r>
      <w:r>
        <w:rPr>
          <w:rFonts w:ascii="Times New Roman" w:hAnsi="Times New Roman" w:eastAsia="华文宋体" w:cs="Times New Roman"/>
          <w:color w:val="000000" w:themeColor="text1"/>
          <w:sz w:val="28"/>
          <w:szCs w:val="28"/>
          <w14:textFill>
            <w14:solidFill>
              <w14:schemeClr w14:val="tx1"/>
            </w14:solidFill>
          </w14:textFill>
        </w:rPr>
        <w:t>2016至2017年邹城市接待生态旅游游客逐年增加，分别为</w:t>
      </w:r>
      <w:r>
        <w:rPr>
          <w:rFonts w:ascii="Times New Roman" w:hAnsi="Times New Roman" w:eastAsia="华文宋体" w:cs="Times New Roman"/>
          <w:color w:val="000000"/>
          <w:kern w:val="0"/>
          <w:sz w:val="28"/>
          <w:szCs w:val="28"/>
        </w:rPr>
        <w:t>57.8</w:t>
      </w:r>
      <w:r>
        <w:rPr>
          <w:rFonts w:ascii="Times New Roman" w:hAnsi="Times New Roman" w:eastAsia="华文宋体" w:cs="Times New Roman"/>
          <w:color w:val="000000" w:themeColor="text1"/>
          <w:sz w:val="28"/>
          <w:szCs w:val="28"/>
          <w14:textFill>
            <w14:solidFill>
              <w14:schemeClr w14:val="tx1"/>
            </w14:solidFill>
          </w14:textFill>
        </w:rPr>
        <w:t>万人次、 79.8万人次，生态旅游收入分别为2.78亿元、 3.96亿元，生态旅游人数和收入均呈逐年上升趋势。</w:t>
      </w:r>
      <w:r>
        <w:rPr>
          <w:rFonts w:ascii="Times New Roman" w:hAnsi="Times New Roman" w:eastAsia="宋体" w:cs="Times New Roman"/>
          <w:color w:val="000000" w:themeColor="text1"/>
          <w:kern w:val="0"/>
          <w:sz w:val="28"/>
          <w:szCs w:val="28"/>
          <w14:textFill>
            <w14:solidFill>
              <w14:schemeClr w14:val="tx1"/>
            </w14:solidFill>
          </w14:textFill>
        </w:rPr>
        <w:t xml:space="preserve"> </w:t>
      </w:r>
    </w:p>
    <w:p>
      <w:pPr>
        <w:pStyle w:val="5"/>
      </w:pPr>
      <w:r>
        <w:rPr>
          <w:rFonts w:hint="eastAsia"/>
        </w:rPr>
        <w:t xml:space="preserve">3.1.4 </w:t>
      </w:r>
      <w:r>
        <w:t>支撑材料</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2017年邹城市生态乡村旅游汇总表</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2016年邹城市生态乡村旅游汇总表</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2015年邹城市生态乡村旅游汇总表</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2017年度林业旅游与休闲产业发展情况</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2016年度林业旅游与休闲产业发展状况</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山东省旅游发展委员会关于命名山东省旅游强乡镇、旅游特色村、农业旅游示范点、精品采摘园、开心农场和好客人家星级农家乐的通知</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山东省旅游发展委员会关于命名山东省旅游强乡镇、旅游特色村、工农业旅游示范点、精品采摘园、开心农场和好客人家星级农家乐的通知（鲁旅发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55号）</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山东省旅游局关于命名山东省旅游强乡镇、旅游特色村、工农业旅游示范点、精品采摘园、开心农场和好客人家星级农家乐的通知生（鲁旅办发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﹝2015﹞</w:t>
      </w:r>
      <w:r>
        <w:rPr>
          <w:rFonts w:ascii="Times New Roman" w:hAnsi="Times New Roman" w:eastAsia="华文宋体" w:cs="Times New Roman"/>
          <w:color w:val="000000" w:themeColor="text1"/>
          <w:sz w:val="28"/>
          <w:szCs w:val="28"/>
          <w14:textFill>
            <w14:solidFill>
              <w14:schemeClr w14:val="tx1"/>
            </w14:solidFill>
          </w14:textFill>
        </w:rPr>
        <w:t>134号）</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山东省旅游局关于批准发布第三批省级原生态旅游景区名单的通知（鲁旅字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4号）</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全市森林公园基本情况一览表</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邹城市生态旅游区汇总表</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邹城市乡村旅游点汇总表</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济宁市林业局、济宁市旅游发展委员会关于公布济宁市生态文化旅游村庄名单的通知（济林字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59号）</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sz w:val="28"/>
          <w:szCs w:val="28"/>
        </w:rPr>
        <w:t>邹城市文化旅游指挥部</w:t>
      </w:r>
      <w:r>
        <w:rPr>
          <w:rFonts w:ascii="Times New Roman" w:hAnsi="Times New Roman" w:eastAsia="华文宋体" w:cs="Times New Roman"/>
          <w:color w:val="000000" w:themeColor="text1"/>
          <w:sz w:val="28"/>
          <w:szCs w:val="28"/>
          <w14:textFill>
            <w14:solidFill>
              <w14:schemeClr w14:val="tx1"/>
            </w14:solidFill>
          </w14:textFill>
        </w:rPr>
        <w:t>关于加快推进凤凰山国际旅游度假区项目的专题会议纪要</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sz w:val="28"/>
          <w:szCs w:val="28"/>
        </w:rPr>
        <w:t>邹城市林业局、邹城市旅游局</w:t>
      </w:r>
      <w:r>
        <w:rPr>
          <w:rFonts w:ascii="Times New Roman" w:hAnsi="Times New Roman" w:eastAsia="华文宋体" w:cs="Times New Roman"/>
          <w:color w:val="000000" w:themeColor="text1"/>
          <w:sz w:val="28"/>
          <w:szCs w:val="28"/>
          <w14:textFill>
            <w14:solidFill>
              <w14:schemeClr w14:val="tx1"/>
            </w14:solidFill>
          </w14:textFill>
        </w:rPr>
        <w:t>关于推荐城前镇渠庄等村庄申报“济宁市生态文化旅游村庄”的报告（邹林字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45号）</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全国森林旅游示范县申报书</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邹城凤凰山省级森林公园简介</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邹城凫山森林公园简介</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邹城狼舞山森林公园简介</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邹城梨杭省级森林公园简介</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邹城连青山森林公园简介</w:t>
      </w:r>
    </w:p>
    <w:p>
      <w:pPr>
        <w:numPr>
          <w:ilvl w:val="0"/>
          <w:numId w:val="25"/>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山东峄山国家森林公园简介</w:t>
      </w:r>
    </w:p>
    <w:p>
      <w:pPr>
        <w:numPr>
          <w:ilvl w:val="0"/>
          <w:numId w:val="25"/>
        </w:numPr>
        <w:spacing w:line="360" w:lineRule="auto"/>
        <w:ind w:firstLine="560" w:firstLineChars="200"/>
        <w:rPr>
          <w:rFonts w:ascii="Times New Roman" w:hAnsi="Times New Roman" w:cs="Times New Roman"/>
          <w:sz w:val="28"/>
          <w:szCs w:val="28"/>
        </w:rPr>
      </w:pPr>
      <w:r>
        <w:rPr>
          <w:rFonts w:ascii="Times New Roman" w:hAnsi="Times New Roman" w:eastAsia="华文宋体" w:cs="Times New Roman"/>
          <w:color w:val="000000" w:themeColor="text1"/>
          <w:sz w:val="28"/>
          <w:szCs w:val="28"/>
          <w14:textFill>
            <w14:solidFill>
              <w14:schemeClr w14:val="tx1"/>
            </w14:solidFill>
          </w14:textFill>
        </w:rPr>
        <w:t>照片</w:t>
      </w:r>
    </w:p>
    <w:p>
      <w:pPr>
        <w:pStyle w:val="4"/>
      </w:pPr>
      <w:bookmarkStart w:id="36" w:name="_Toc519373563"/>
      <w:r>
        <w:rPr>
          <w:rFonts w:hint="eastAsia"/>
        </w:rPr>
        <w:t xml:space="preserve">3.2 </w:t>
      </w:r>
      <w:r>
        <w:t>林产基地</w:t>
      </w:r>
      <w:bookmarkEnd w:id="36"/>
    </w:p>
    <w:p>
      <w:pPr>
        <w:pStyle w:val="5"/>
      </w:pPr>
      <w:r>
        <w:rPr>
          <w:rFonts w:hint="eastAsia"/>
        </w:rPr>
        <w:t xml:space="preserve">3.2.1 </w:t>
      </w:r>
      <w:r>
        <w:t xml:space="preserve">指标要求 </w:t>
      </w:r>
    </w:p>
    <w:p>
      <w:pPr>
        <w:pStyle w:val="22"/>
        <w:spacing w:line="360" w:lineRule="auto"/>
        <w:ind w:firstLine="562" w:firstLineChars="201"/>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 xml:space="preserve">建设特色经济林、林下种养殖、用材林等林业产业基地，农民涉林收入逐年增加。 </w:t>
      </w:r>
    </w:p>
    <w:p>
      <w:pPr>
        <w:pStyle w:val="5"/>
      </w:pPr>
      <w:r>
        <w:rPr>
          <w:rFonts w:hint="eastAsia"/>
        </w:rPr>
        <w:t xml:space="preserve">3.2.2 </w:t>
      </w:r>
      <w:r>
        <w:t xml:space="preserve">调查方法 </w:t>
      </w:r>
    </w:p>
    <w:p>
      <w:pPr>
        <w:pStyle w:val="22"/>
        <w:spacing w:line="360" w:lineRule="auto"/>
        <w:ind w:left="-6" w:leftChars="-3" w:firstLine="571" w:firstLineChars="204"/>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 xml:space="preserve">根据林业年报和相关林业产业发展规划，结合部分点实地察看。 </w:t>
      </w:r>
    </w:p>
    <w:p>
      <w:pPr>
        <w:pStyle w:val="5"/>
      </w:pPr>
      <w:r>
        <w:rPr>
          <w:rFonts w:hint="eastAsia"/>
        </w:rPr>
        <w:t xml:space="preserve">3.2.3 </w:t>
      </w:r>
      <w:r>
        <w:t xml:space="preserve">调查结果  </w:t>
      </w:r>
    </w:p>
    <w:p>
      <w:pPr>
        <w:autoSpaceDE w:val="0"/>
        <w:autoSpaceDN w:val="0"/>
        <w:adjustRightInd w:val="0"/>
        <w:ind w:firstLine="560" w:firstLineChars="200"/>
        <w:rPr>
          <w:rFonts w:ascii="Times New Roman" w:hAnsi="Times New Roman" w:eastAsia="华文宋体" w:cs="Times New Roman"/>
          <w:sz w:val="28"/>
          <w:szCs w:val="28"/>
        </w:rPr>
      </w:pPr>
      <w:r>
        <w:rPr>
          <w:rFonts w:ascii="Times New Roman" w:hAnsi="Times New Roman" w:eastAsia="华文宋体" w:cs="Times New Roman"/>
          <w:color w:val="000000" w:themeColor="text1"/>
          <w:sz w:val="28"/>
          <w:szCs w:val="28"/>
          <w14:textFill>
            <w14:solidFill>
              <w14:schemeClr w14:val="tx1"/>
            </w14:solidFill>
          </w14:textFill>
        </w:rPr>
        <w:t>达标。自创建国家森林城市以来，在邹城市委、市政府的高度重视下，全市加快发展林业产业，全力推进林业产业基地建设。主要从以下几方面进行：一是积极培植和扶持龙头企业和林业专业合作示范社，成立邹城市林业产业协会，进一步促进林业增效、农民增收和就业增加；二是大力发展以野生动物驯养繁殖为主的特色林下种养殖经济；</w:t>
      </w:r>
      <w:r>
        <w:rPr>
          <w:rFonts w:ascii="Times New Roman" w:hAnsi="Times New Roman" w:eastAsia="华文宋体" w:cs="Times New Roman"/>
          <w:sz w:val="28"/>
          <w:szCs w:val="28"/>
        </w:rPr>
        <w:t>三是积极发展森林生态旅游和林家乐生态游，加快特色林业基地的建设；四是充分加强林业科技合作，推进林下特色经济如木材产品的发展。</w:t>
      </w:r>
    </w:p>
    <w:p>
      <w:pPr>
        <w:autoSpaceDE w:val="0"/>
        <w:autoSpaceDN w:val="0"/>
        <w:adjustRightInd w:val="0"/>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宋体" w:cs="Times New Roman"/>
          <w:kern w:val="0"/>
          <w:sz w:val="28"/>
          <w:szCs w:val="28"/>
        </w:rPr>
        <w:t>据统计，创森期间全市共创建林产基地29个（山东邹鲁生态园、猪牙皂生产示范园、香城现代农业科技示范园、张庄镇樱桃生产标准园等）。邹城市2016年和2017年的林业产业总产值分别为26.8568亿元和28.1277亿元，</w:t>
      </w:r>
      <w:r>
        <w:rPr>
          <w:rFonts w:ascii="Times New Roman" w:hAnsi="Times New Roman" w:eastAsia="华文宋体" w:cs="Times New Roman"/>
          <w:color w:val="000000" w:themeColor="text1"/>
          <w:sz w:val="28"/>
          <w:szCs w:val="28"/>
          <w14:textFill>
            <w14:solidFill>
              <w14:schemeClr w14:val="tx1"/>
            </w14:solidFill>
          </w14:textFill>
        </w:rPr>
        <w:t>林业产业稳定增长、农民涉林收入逐年增加，林业产业惠民作用不断凸显。</w:t>
      </w:r>
    </w:p>
    <w:p>
      <w:pPr>
        <w:pStyle w:val="5"/>
      </w:pPr>
      <w:r>
        <w:rPr>
          <w:rFonts w:hint="eastAsia"/>
        </w:rPr>
        <w:t xml:space="preserve">3.2.4 </w:t>
      </w:r>
      <w:r>
        <w:t>支撑材料</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邹城市林业局关于公布2017年度林业龙头企业和林业专业合作社示范社的通知（邹林字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33号）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邹城市林业局关于公布2016年度林业龙头企业和林业专业合作社示范社的通知（邹林字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36号）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邹城市林业局关于成立邹城市林业产业协会的批复（邹林字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11号）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邹城市林业局关于组织申报2017年度邹城市市级林业龙头企业及林业专业合作社示范社工作的通知（邹林字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23号）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邹城市林业局关于推荐济宁市第七批市级林业产业龙头企业的申请报告（邹林呈字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39号）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邹城市新建苗木花卉产业基地投资统计表</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邹城市新建苗木花卉产业基地建设一览表</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2017年林业统计年报</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2016年林业统计年报</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邹城市林业局关于拨付2015年现代农业生产发展资金核桃产业项目资金的通知（邹林字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42号）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邹城市林业局关于成立邹城市保障性育苗基地建设领导小组的通知（邹林字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31号）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邹城市林业局关于成立邹城市保障性育苗基地建设技术小组的通知（邹林字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32号）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邹城市林业局关于创建邹城市标准化科技示范果园的通知（邹林字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8号）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济宁市农业局、济宁市财政局、济宁市渔业局等关于公布济宁市2017年市级家庭农场示范场监测结果的通知（济农字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287号）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邹城市大樱桃高产高效示范基地建设项目可行性研究报</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科技产业科--2017年工作总结和2018年工作重点</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科技产业科--2016年工作总结和2017年工作计划</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科技产业科--2015年工作总结及2016年度工作计划</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2015年度国家储备林基地及速生丰产林建设情况</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邹城市林业局关于同意邹城市旺凤鸣生态园有限公司办理《驯养繁殖许可证》和《经营利用许可证》的行政许可决定（邹林字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43号）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邹城市林业局关于同意邹城市希望特种动物养殖场办理《驯养繁殖许可证》和《经营利用许可证》的行政许可决定（邹林字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37号）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邹城市林业局关于同意邹城市祥欣龟类动物养殖园办理《驯养繁殖许可证》和《经营利用许可证》的行政许可决定（邹林字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39号）</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邹城市乡村旅游汇总表</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林木种子生产经营许可证统计表</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邹城市林业产业化龙头企业、合作示范社建设情况</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邹城市林产基地建设一览表</w:t>
      </w:r>
    </w:p>
    <w:p>
      <w:pPr>
        <w:numPr>
          <w:ilvl w:val="0"/>
          <w:numId w:val="26"/>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照片</w:t>
      </w:r>
    </w:p>
    <w:p>
      <w:pPr>
        <w:pStyle w:val="4"/>
      </w:pPr>
      <w:bookmarkStart w:id="37" w:name="_Toc519373564"/>
      <w:r>
        <w:rPr>
          <w:rFonts w:hint="eastAsia"/>
        </w:rPr>
        <w:t xml:space="preserve">3.3 </w:t>
      </w:r>
      <w:r>
        <w:t>林木苗圃</w:t>
      </w:r>
      <w:bookmarkEnd w:id="37"/>
    </w:p>
    <w:p>
      <w:pPr>
        <w:pStyle w:val="5"/>
      </w:pPr>
      <w:r>
        <w:rPr>
          <w:rFonts w:hint="eastAsia"/>
        </w:rPr>
        <w:t xml:space="preserve">3.3.1 </w:t>
      </w:r>
      <w:r>
        <w:t>指标要求</w:t>
      </w:r>
    </w:p>
    <w:p>
      <w:pPr>
        <w:pStyle w:val="22"/>
        <w:spacing w:line="360" w:lineRule="auto"/>
        <w:ind w:firstLine="565" w:firstLineChars="202"/>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全市绿化苗木生产基本满足本市绿化需要，苗木自给率达80％以上，并建有优良乡土绿化树种培育基地。</w:t>
      </w:r>
    </w:p>
    <w:p>
      <w:pPr>
        <w:pStyle w:val="5"/>
      </w:pPr>
      <w:r>
        <w:rPr>
          <w:rFonts w:hint="eastAsia"/>
        </w:rPr>
        <w:t xml:space="preserve">3.3.2 </w:t>
      </w:r>
      <w:r>
        <w:t>方法步骤</w:t>
      </w:r>
    </w:p>
    <w:p>
      <w:pPr>
        <w:pStyle w:val="22"/>
        <w:spacing w:line="360" w:lineRule="auto"/>
        <w:ind w:left="360" w:firstLine="204" w:firstLineChars="73"/>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 xml:space="preserve"> 根据提供数据分析，实地调查较有代表性的苗圃基地。</w:t>
      </w:r>
    </w:p>
    <w:p>
      <w:pPr>
        <w:pStyle w:val="5"/>
      </w:pPr>
      <w:r>
        <w:rPr>
          <w:rFonts w:hint="eastAsia"/>
        </w:rPr>
        <w:t xml:space="preserve">3.3.3 </w:t>
      </w:r>
      <w:r>
        <w:t>自查结果</w:t>
      </w:r>
    </w:p>
    <w:p>
      <w:pPr>
        <w:autoSpaceDE w:val="0"/>
        <w:autoSpaceDN w:val="0"/>
        <w:adjustRightInd w:val="0"/>
        <w:ind w:firstLine="560" w:firstLineChars="200"/>
        <w:rPr>
          <w:rFonts w:ascii="Times New Roman" w:hAnsi="Times New Roman" w:eastAsia="宋体" w:cs="Times New Roman"/>
          <w:kern w:val="0"/>
          <w:sz w:val="28"/>
          <w:szCs w:val="28"/>
        </w:rPr>
      </w:pPr>
      <w:r>
        <w:rPr>
          <w:rFonts w:ascii="Times New Roman" w:hAnsi="Times New Roman" w:eastAsia="华文宋体" w:cs="Times New Roman"/>
          <w:color w:val="000000" w:themeColor="text1"/>
          <w:sz w:val="28"/>
          <w:szCs w:val="28"/>
          <w14:textFill>
            <w14:solidFill>
              <w14:schemeClr w14:val="tx1"/>
            </w14:solidFill>
          </w14:textFill>
        </w:rPr>
        <w:t>达标。自创建国家森林城市以来，邹城市委市政府高度重视、大力</w:t>
      </w:r>
      <w:r>
        <w:rPr>
          <w:rFonts w:ascii="Times New Roman" w:hAnsi="Times New Roman" w:eastAsia="宋体" w:cs="Times New Roman"/>
          <w:kern w:val="0"/>
          <w:sz w:val="28"/>
          <w:szCs w:val="28"/>
        </w:rPr>
        <w:t>发展具有区域特色的城乡绿化苗木、花卉生产基地。通过政府引领、龙头企业带动，着力加强高档园林绿化苗木、精品苗木和乡土树种苗木的培育，重点发展优质果树苗木和色叶树种苗木，培育邹城苗木特色品牌</w:t>
      </w:r>
      <w:r>
        <w:rPr>
          <w:rFonts w:ascii="Times New Roman" w:hAnsi="Times New Roman" w:eastAsia="华文宋体" w:cs="Times New Roman"/>
          <w:color w:val="000000" w:themeColor="text1"/>
          <w:sz w:val="28"/>
          <w:szCs w:val="28"/>
          <w14:textFill>
            <w14:solidFill>
              <w14:schemeClr w14:val="tx1"/>
            </w14:solidFill>
          </w14:textFill>
        </w:rPr>
        <w:t>。</w:t>
      </w:r>
    </w:p>
    <w:p>
      <w:pPr>
        <w:spacing w:line="360" w:lineRule="auto"/>
        <w:ind w:firstLine="560" w:firstLineChars="200"/>
        <w:rPr>
          <w:rFonts w:ascii="Times New Roman" w:hAnsi="Times New Roman" w:eastAsia="华文宋体" w:cs="Times New Roman"/>
          <w:color w:val="FF0000"/>
          <w:sz w:val="28"/>
          <w:szCs w:val="28"/>
          <w:highlight w:val="yellow"/>
        </w:rPr>
      </w:pPr>
      <w:r>
        <w:rPr>
          <w:rFonts w:ascii="Times New Roman" w:hAnsi="Times New Roman" w:eastAsia="华文宋体" w:cs="Times New Roman"/>
          <w:color w:val="000000" w:themeColor="text1"/>
          <w:sz w:val="28"/>
          <w:szCs w:val="28"/>
          <w14:textFill>
            <w14:solidFill>
              <w14:schemeClr w14:val="tx1"/>
            </w14:solidFill>
          </w14:textFill>
        </w:rPr>
        <w:t>据统计，2016年邹城全市总出苗量为2247.3万株，用苗量1408.7万株；2017全年总出苗量为2447万株，用苗量1506万株；2018年全市苗圃总出苗量为2840万株，用苗量为1637万株。2018年邹城市内的育苗面积达1383.26公顷。创森期间，苗木去向用于本地种植，全市苗木自给率超过80%。</w:t>
      </w:r>
    </w:p>
    <w:p>
      <w:pPr>
        <w:pStyle w:val="5"/>
      </w:pPr>
      <w:r>
        <w:rPr>
          <w:rFonts w:hint="eastAsia"/>
        </w:rPr>
        <w:t xml:space="preserve">3.3.4 </w:t>
      </w:r>
      <w:r>
        <w:t>支撑材料</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全市苗木花卉产业基地建设及年出苗量情况一览表</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邹城市苗木自给率一览表</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2015-2018苗木生产经营许可证统计表</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苗木花卉产业基地建设工程完成投资表</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邹城市国有邹城苗木林木良种补贴申报书</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山东省林业厅关于切实搞好春季育苗工作的通知（鲁林种字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﹝2014﹞</w:t>
      </w:r>
      <w:r>
        <w:rPr>
          <w:rFonts w:ascii="Times New Roman" w:hAnsi="Times New Roman" w:eastAsia="华文宋体" w:cs="Times New Roman"/>
          <w:color w:val="000000" w:themeColor="text1"/>
          <w:sz w:val="28"/>
          <w:szCs w:val="28"/>
          <w14:textFill>
            <w14:solidFill>
              <w14:schemeClr w14:val="tx1"/>
            </w14:solidFill>
          </w14:textFill>
        </w:rPr>
        <w:t>43号）</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邹城市林业局关于成立邹城市保障性育苗基地建设技术小组的通知 （邹林字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32号）</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邹城市林业局关于对征占用国有林场苗圃林业用地专项清理的通知 （邹林字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46号）</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济宁市林业局关于转发山东省林业种苗和花卉站《关于开展全省林木良种生产使用情况调研的通知》的通知</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2018年育苗面积统计表</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2016年统计年报</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2017年统计年报</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邹城市2016年林木种苗质量抽查报告</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邹城市2016年苗木被抽查单位情况表</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邹城市2017年林木种苗质量抽查报告</w:t>
      </w:r>
    </w:p>
    <w:p>
      <w:pPr>
        <w:pStyle w:val="19"/>
        <w:numPr>
          <w:ilvl w:val="0"/>
          <w:numId w:val="27"/>
        </w:numPr>
        <w:adjustRightInd w:val="0"/>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邹城市2017年苗木被抽查单位情况表</w:t>
      </w:r>
    </w:p>
    <w:p>
      <w:pPr>
        <w:pStyle w:val="3"/>
      </w:pPr>
      <w:bookmarkStart w:id="38" w:name="_Toc519373565"/>
      <w:r>
        <w:rPr>
          <w:rFonts w:hint="eastAsia"/>
        </w:rPr>
        <w:t xml:space="preserve">4 </w:t>
      </w:r>
      <w:r>
        <w:t>城市生态文明</w:t>
      </w:r>
      <w:bookmarkEnd w:id="38"/>
    </w:p>
    <w:p>
      <w:pPr>
        <w:pStyle w:val="4"/>
      </w:pPr>
      <w:bookmarkStart w:id="39" w:name="_Toc519373566"/>
      <w:r>
        <w:rPr>
          <w:rFonts w:hint="eastAsia"/>
        </w:rPr>
        <w:t xml:space="preserve">4.1 </w:t>
      </w:r>
      <w:r>
        <w:t>科普场所</w:t>
      </w:r>
      <w:bookmarkEnd w:id="39"/>
    </w:p>
    <w:p>
      <w:pPr>
        <w:pStyle w:val="5"/>
      </w:pPr>
      <w:r>
        <w:rPr>
          <w:rFonts w:hint="eastAsia"/>
        </w:rPr>
        <w:t xml:space="preserve">4.1.1 </w:t>
      </w:r>
      <w:r>
        <w:t>指标要求</w:t>
      </w:r>
    </w:p>
    <w:p>
      <w:pPr>
        <w:pStyle w:val="22"/>
        <w:spacing w:line="360" w:lineRule="auto"/>
        <w:ind w:firstLine="565" w:firstLineChars="202"/>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在森林公园、湿地公园、植物园、动物园、自然保护区的开放区等公众游憩地，设有专门的科普小标识、科普宣传栏、科普馆等生态知识教育设施和场所。</w:t>
      </w:r>
    </w:p>
    <w:p>
      <w:pPr>
        <w:pStyle w:val="5"/>
      </w:pPr>
      <w:r>
        <w:rPr>
          <w:rFonts w:hint="eastAsia"/>
        </w:rPr>
        <w:t xml:space="preserve">4.1.2 </w:t>
      </w:r>
      <w:r>
        <w:t>方法步骤</w:t>
      </w:r>
    </w:p>
    <w:p>
      <w:pPr>
        <w:pStyle w:val="22"/>
        <w:spacing w:line="360" w:lineRule="auto"/>
        <w:ind w:firstLine="565" w:firstLineChars="202"/>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实地察看，赴科协、科技局、园林局、教育、有关镇街查阅有关档案资料。</w:t>
      </w:r>
    </w:p>
    <w:p>
      <w:pPr>
        <w:pStyle w:val="5"/>
      </w:pPr>
      <w:r>
        <w:t xml:space="preserve">4.1.3 自查结果  </w:t>
      </w:r>
    </w:p>
    <w:p>
      <w:pPr>
        <w:autoSpaceDE w:val="0"/>
        <w:autoSpaceDN w:val="0"/>
        <w:adjustRightInd w:val="0"/>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达标。自创建国家森林城市以来，</w:t>
      </w:r>
      <w:r>
        <w:rPr>
          <w:rFonts w:ascii="Times New Roman" w:hAnsi="Times New Roman" w:eastAsia="华文宋体" w:cs="Times New Roman"/>
          <w:kern w:val="0"/>
          <w:sz w:val="28"/>
          <w:szCs w:val="28"/>
        </w:rPr>
        <w:t>邹城市以森林公园、湿地公园、中小学校园等为依托，大力完善科普宣教设施建设</w:t>
      </w:r>
      <w:r>
        <w:rPr>
          <w:rFonts w:ascii="Times New Roman" w:hAnsi="Times New Roman" w:eastAsia="华文宋体" w:cs="Times New Roman"/>
          <w:color w:val="000000" w:themeColor="text1"/>
          <w:sz w:val="28"/>
          <w:szCs w:val="28"/>
          <w14:textFill>
            <w14:solidFill>
              <w14:schemeClr w14:val="tx1"/>
            </w14:solidFill>
          </w14:textFill>
        </w:rPr>
        <w:t xml:space="preserve">，增强向游客和学生宣传科普知识的力度；努力建设各级科普教育场所，为人们进一步学习和了解生态知识提供了便利条件。 </w:t>
      </w:r>
    </w:p>
    <w:p>
      <w:pPr>
        <w:autoSpaceDE w:val="0"/>
        <w:autoSpaceDN w:val="0"/>
        <w:adjustRightInd w:val="0"/>
        <w:ind w:firstLine="560" w:firstLineChars="200"/>
        <w:rPr>
          <w:rFonts w:ascii="Times New Roman" w:hAnsi="Times New Roman" w:eastAsia="华文宋体" w:cs="Times New Roman"/>
          <w:color w:val="FF0000"/>
          <w:kern w:val="0"/>
          <w:sz w:val="24"/>
          <w:szCs w:val="24"/>
        </w:rPr>
      </w:pPr>
      <w:r>
        <w:rPr>
          <w:rFonts w:ascii="Times New Roman" w:hAnsi="Times New Roman" w:eastAsia="华文宋体" w:cs="Times New Roman"/>
          <w:color w:val="000000" w:themeColor="text1"/>
          <w:sz w:val="28"/>
          <w:szCs w:val="28"/>
          <w14:textFill>
            <w14:solidFill>
              <w14:schemeClr w14:val="tx1"/>
            </w14:solidFill>
          </w14:textFill>
        </w:rPr>
        <w:t>为充分发挥科普教育基地示范带动作用，创森期间邹城市科学技术协会命名邹城市森林科普馆、邹城市护驾山植物园、</w:t>
      </w:r>
      <w:r>
        <w:rPr>
          <w:rFonts w:hint="eastAsia" w:ascii="Times New Roman" w:hAnsi="Times New Roman" w:eastAsia="华文宋体" w:cs="Times New Roman"/>
          <w:color w:val="FF0000"/>
          <w:sz w:val="28"/>
          <w:szCs w:val="28"/>
          <w:lang w:val="en-US" w:eastAsia="zh-CN"/>
        </w:rPr>
        <w:t>山东</w:t>
      </w:r>
      <w:r>
        <w:rPr>
          <w:rFonts w:ascii="Times New Roman" w:hAnsi="Times New Roman" w:eastAsia="华文宋体" w:cs="Times New Roman"/>
          <w:color w:val="FF0000"/>
          <w:sz w:val="28"/>
          <w:szCs w:val="28"/>
        </w:rPr>
        <w:t>邹城太平国家湿地</w:t>
      </w:r>
      <w:r>
        <w:rPr>
          <w:rFonts w:ascii="Times New Roman" w:hAnsi="Times New Roman" w:eastAsia="华文宋体" w:cs="Times New Roman"/>
          <w:color w:val="000000" w:themeColor="text1"/>
          <w:sz w:val="28"/>
          <w:szCs w:val="28"/>
          <w14:textFill>
            <w14:solidFill>
              <w14:schemeClr w14:val="tx1"/>
            </w14:solidFill>
          </w14:textFill>
        </w:rPr>
        <w:t>公园等16个单位为科普教育基地。市林业局、教育局通过考察和审核，推荐邹城市实验中学、邹城市千泉街道办事处兴隆小学等为</w:t>
      </w:r>
      <w:r>
        <w:rPr>
          <w:rFonts w:ascii="Times New Roman" w:hAnsi="Times New Roman" w:eastAsia="华文宋体" w:cs="Times New Roman"/>
          <w:color w:val="FF0000"/>
          <w:sz w:val="28"/>
          <w:szCs w:val="28"/>
        </w:rPr>
        <w:t>济宁市级生态文化科普校园</w:t>
      </w:r>
      <w:r>
        <w:rPr>
          <w:rFonts w:ascii="Times New Roman" w:hAnsi="Times New Roman" w:eastAsia="华文宋体" w:cs="Times New Roman"/>
          <w:color w:val="000000" w:themeColor="text1"/>
          <w:sz w:val="28"/>
          <w:szCs w:val="28"/>
          <w14:textFill>
            <w14:solidFill>
              <w14:schemeClr w14:val="tx1"/>
            </w14:solidFill>
          </w14:textFill>
        </w:rPr>
        <w:t>。各场所依托科普设施，大力弘扬生态文明建设，普及相关科学知识，营造了全民参与生态科普建设的良好氛围，促进了科普教育建设进程。</w:t>
      </w:r>
    </w:p>
    <w:p>
      <w:pPr>
        <w:pStyle w:val="5"/>
      </w:pPr>
      <w:r>
        <w:rPr>
          <w:rFonts w:hint="eastAsia"/>
        </w:rPr>
        <w:t xml:space="preserve">4.1.4 </w:t>
      </w:r>
      <w:r>
        <w:t>支撑材料</w:t>
      </w:r>
    </w:p>
    <w:p>
      <w:pPr>
        <w:numPr>
          <w:ilvl w:val="0"/>
          <w:numId w:val="28"/>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邹城市林业局、邹城市教育局关于推荐生态文化科普校园和生态文化科普教育基地的报告 （邹林呈字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38号）</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color w:val="000000" w:themeColor="text1"/>
          <w:sz w:val="28"/>
          <w:szCs w:val="28"/>
          <w14:textFill>
            <w14:solidFill>
              <w14:schemeClr w14:val="tx1"/>
            </w14:solidFill>
          </w14:textFill>
        </w:rPr>
        <w:t>济宁市教育局、济宁市林业局关于公布济宁市第五批绿色生态校园学校名单的通知（济教字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123号）</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济宁市教育局、济宁市林业局关于公布济宁市第四批绿色生态校园学校名单的通知</w:t>
      </w:r>
      <w:r>
        <w:rPr>
          <w:rFonts w:ascii="Times New Roman" w:hAnsi="Times New Roman" w:eastAsia="华文宋体" w:cs="Times New Roman"/>
          <w:color w:val="000000" w:themeColor="text1"/>
          <w:sz w:val="28"/>
          <w:szCs w:val="28"/>
          <w14:textFill>
            <w14:solidFill>
              <w14:schemeClr w14:val="tx1"/>
            </w14:solidFill>
          </w14:textFill>
        </w:rPr>
        <w:t>（济教字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126号）</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济宁市教育局、济宁市林业局关于公布“济宁市生态文化科普校园”和“济宁市生态文化科普教育基地”名单的通知</w:t>
      </w:r>
      <w:r>
        <w:rPr>
          <w:rFonts w:ascii="Times New Roman" w:hAnsi="Times New Roman" w:eastAsia="华文宋体" w:cs="Times New Roman"/>
          <w:color w:val="000000" w:themeColor="text1"/>
          <w:sz w:val="28"/>
          <w:szCs w:val="28"/>
          <w14:textFill>
            <w14:solidFill>
              <w14:schemeClr w14:val="tx1"/>
            </w14:solidFill>
          </w14:textFill>
        </w:rPr>
        <w:t>（济教字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127号）</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济宁市林业局、济宁市教育局关于开展生态文化科普校园、生态文化科普教育基地评选活动的通知</w:t>
      </w:r>
      <w:r>
        <w:rPr>
          <w:rFonts w:ascii="Times New Roman" w:hAnsi="Times New Roman" w:eastAsia="华文宋体" w:cs="Times New Roman"/>
          <w:color w:val="000000" w:themeColor="text1"/>
          <w:sz w:val="28"/>
          <w:szCs w:val="28"/>
          <w14:textFill>
            <w14:solidFill>
              <w14:schemeClr w14:val="tx1"/>
            </w14:solidFill>
          </w14:textFill>
        </w:rPr>
        <w:t>（济林字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35号）</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济宁市勤工俭学管理处关于下发济宁市绿色生态校园、济宁市后勤管理示范化学校评估验收的通知（济勤管字</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12号）</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济宁市勤工俭学管理处关于济宁市绿色生态校园评估验收的通知（济勤管字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3号）</w:t>
      </w:r>
    </w:p>
    <w:p>
      <w:pPr>
        <w:numPr>
          <w:ilvl w:val="0"/>
          <w:numId w:val="28"/>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sz w:val="28"/>
          <w:szCs w:val="28"/>
        </w:rPr>
        <w:t>2015-2017年湿地日开展情况一览表</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color w:val="000000" w:themeColor="text1"/>
          <w:sz w:val="28"/>
          <w:szCs w:val="28"/>
          <w14:textFill>
            <w14:solidFill>
              <w14:schemeClr w14:val="tx1"/>
            </w14:solidFill>
          </w14:textFill>
        </w:rPr>
        <w:t>邹城市科学技术协会关于命名邹城市生态科普教育基地的决定（邹科协字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13号）</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2016年创建济宁市生态文化科普校园申报材料</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邹城市兴隆小学申报济宁市生态文化科普校园表</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邹城市实验中学申报济宁市生态文化科普校园表</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邹城市第22个世界湿地日活动开展情况总结</w:t>
      </w:r>
    </w:p>
    <w:p>
      <w:pPr>
        <w:numPr>
          <w:ilvl w:val="0"/>
          <w:numId w:val="28"/>
        </w:num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40" w:name="_Toc519373567"/>
      <w:r>
        <w:rPr>
          <w:rFonts w:hint="eastAsia"/>
        </w:rPr>
        <w:t xml:space="preserve">4.2 </w:t>
      </w:r>
      <w:r>
        <w:t>义务植树</w:t>
      </w:r>
      <w:bookmarkEnd w:id="40"/>
    </w:p>
    <w:p>
      <w:pPr>
        <w:pStyle w:val="5"/>
      </w:pPr>
      <w:r>
        <w:rPr>
          <w:rFonts w:hint="eastAsia"/>
        </w:rPr>
        <w:t xml:space="preserve">4.2.1 </w:t>
      </w:r>
      <w:r>
        <w:t xml:space="preserve">指标要求 </w:t>
      </w:r>
    </w:p>
    <w:p>
      <w:pPr>
        <w:pStyle w:val="17"/>
        <w:spacing w:line="360" w:lineRule="auto"/>
        <w:ind w:firstLine="565" w:firstLineChars="202"/>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 xml:space="preserve">认真组织全民义务植树，广泛开展城市绿地认建、认养、认管等多种形式的社会参与绿化活动，建立义务植树登记卡和跟踪制度，全民义务植树尽责率达80%以上。 </w:t>
      </w:r>
    </w:p>
    <w:p>
      <w:pPr>
        <w:pStyle w:val="5"/>
      </w:pPr>
      <w:r>
        <w:rPr>
          <w:rFonts w:hint="eastAsia"/>
        </w:rPr>
        <w:t xml:space="preserve">4.2.2 </w:t>
      </w:r>
      <w:r>
        <w:t xml:space="preserve">调查方法 </w:t>
      </w:r>
    </w:p>
    <w:p>
      <w:pPr>
        <w:pStyle w:val="17"/>
        <w:spacing w:line="360" w:lineRule="auto"/>
        <w:ind w:firstLine="565" w:firstLineChars="202"/>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根据邹城市绿化委员会办公室统计数据，以及义务植树登记卡查询，同时结合问卷调查。</w:t>
      </w:r>
    </w:p>
    <w:p>
      <w:pPr>
        <w:pStyle w:val="5"/>
      </w:pPr>
      <w:r>
        <w:rPr>
          <w:rFonts w:hint="eastAsia"/>
        </w:rPr>
        <w:t xml:space="preserve">4.2.3 </w:t>
      </w:r>
      <w:r>
        <w:t>调查结果</w:t>
      </w:r>
    </w:p>
    <w:p>
      <w:pPr>
        <w:spacing w:line="360" w:lineRule="auto"/>
        <w:ind w:firstLine="560" w:firstLineChars="200"/>
        <w:rPr>
          <w:rFonts w:ascii="Times New Roman" w:hAnsi="Times New Roman" w:eastAsia="华文宋体" w:cs="Times New Roman"/>
          <w:color w:val="FF0000"/>
          <w:sz w:val="28"/>
          <w:szCs w:val="28"/>
        </w:rPr>
      </w:pPr>
      <w:r>
        <w:rPr>
          <w:rFonts w:ascii="Times New Roman" w:hAnsi="Times New Roman" w:eastAsia="华文宋体" w:cs="Times New Roman"/>
          <w:color w:val="000000" w:themeColor="text1"/>
          <w:sz w:val="28"/>
          <w:szCs w:val="28"/>
          <w14:textFill>
            <w14:solidFill>
              <w14:schemeClr w14:val="tx1"/>
            </w14:solidFill>
          </w14:textFill>
        </w:rPr>
        <w:t>达标。</w:t>
      </w:r>
      <w:r>
        <w:rPr>
          <w:rFonts w:hint="eastAsia" w:ascii="Times New Roman" w:hAnsi="Times New Roman" w:eastAsia="华文宋体" w:cs="Times New Roman"/>
          <w:color w:val="FF0000"/>
          <w:sz w:val="28"/>
          <w:szCs w:val="28"/>
          <w:lang w:val="en-US" w:eastAsia="zh-CN"/>
        </w:rPr>
        <w:t>为广泛开展国土绿化行动和森林城市建设，不断扩大森林绿量和人居生态环境，不断提升广大市民幸福感和获得感，邹城市始终坚持植树造林以人民为中心的发展思想，积极引导广大干部群众踊跃参与全民义务植树活动。</w:t>
      </w:r>
      <w:r>
        <w:rPr>
          <w:rFonts w:ascii="Times New Roman" w:hAnsi="Times New Roman" w:eastAsia="华文宋体" w:cs="Times New Roman"/>
          <w:color w:val="FF0000"/>
          <w:sz w:val="28"/>
          <w:szCs w:val="28"/>
        </w:rPr>
        <w:t>自创建国家森林城市以来，邹城市</w:t>
      </w:r>
      <w:r>
        <w:rPr>
          <w:rFonts w:hint="eastAsia" w:ascii="Times New Roman" w:hAnsi="Times New Roman" w:eastAsia="华文宋体" w:cs="Times New Roman"/>
          <w:color w:val="FF0000"/>
          <w:sz w:val="28"/>
          <w:szCs w:val="28"/>
          <w:lang w:val="en-US" w:eastAsia="zh-CN"/>
        </w:rPr>
        <w:t>积极创新互联网＋认建认捐认养等义务植树方式，</w:t>
      </w:r>
      <w:r>
        <w:rPr>
          <w:rFonts w:ascii="Times New Roman" w:hAnsi="Times New Roman" w:eastAsia="华文宋体" w:cs="Times New Roman"/>
          <w:color w:val="FF0000"/>
          <w:sz w:val="28"/>
          <w:szCs w:val="28"/>
        </w:rPr>
        <w:t>连</w:t>
      </w:r>
      <w:r>
        <w:rPr>
          <w:rFonts w:hint="eastAsia" w:ascii="Times New Roman" w:hAnsi="Times New Roman" w:eastAsia="华文宋体" w:cs="Times New Roman"/>
          <w:color w:val="FF0000"/>
          <w:sz w:val="28"/>
          <w:szCs w:val="28"/>
          <w:lang w:val="en-US" w:eastAsia="zh-CN"/>
        </w:rPr>
        <w:t>年组织</w:t>
      </w:r>
      <w:r>
        <w:rPr>
          <w:rFonts w:ascii="Times New Roman" w:hAnsi="Times New Roman" w:eastAsia="华文宋体" w:cs="Times New Roman"/>
          <w:color w:val="FF0000"/>
          <w:sz w:val="28"/>
          <w:szCs w:val="28"/>
        </w:rPr>
        <w:t>开展了市直机关领导干部3.12义务植树</w:t>
      </w:r>
      <w:r>
        <w:rPr>
          <w:rFonts w:hint="eastAsia" w:ascii="Times New Roman" w:hAnsi="Times New Roman" w:eastAsia="华文宋体" w:cs="Times New Roman"/>
          <w:color w:val="FF0000"/>
          <w:sz w:val="28"/>
          <w:szCs w:val="28"/>
          <w:lang w:eastAsia="zh-CN"/>
        </w:rPr>
        <w:t>、</w:t>
      </w:r>
      <w:r>
        <w:rPr>
          <w:rFonts w:ascii="Times New Roman" w:hAnsi="Times New Roman" w:eastAsia="华文宋体" w:cs="Times New Roman"/>
          <w:color w:val="FF0000"/>
          <w:sz w:val="28"/>
          <w:szCs w:val="28"/>
        </w:rPr>
        <w:t>雨季义务植树活动</w:t>
      </w:r>
      <w:r>
        <w:rPr>
          <w:rFonts w:hint="eastAsia" w:ascii="Times New Roman" w:hAnsi="Times New Roman" w:eastAsia="华文宋体" w:cs="Times New Roman"/>
          <w:color w:val="FF0000"/>
          <w:sz w:val="28"/>
          <w:szCs w:val="28"/>
          <w:lang w:eastAsia="zh-CN"/>
        </w:rPr>
        <w:t>、</w:t>
      </w:r>
      <w:r>
        <w:rPr>
          <w:rFonts w:ascii="Times New Roman" w:hAnsi="Times New Roman" w:eastAsia="华文宋体" w:cs="Times New Roman"/>
          <w:color w:val="FF0000"/>
          <w:sz w:val="28"/>
          <w:szCs w:val="28"/>
        </w:rPr>
        <w:t>巾帼植树增绿在行动、</w:t>
      </w:r>
      <w:r>
        <w:rPr>
          <w:rFonts w:hint="eastAsia" w:ascii="Times New Roman" w:hAnsi="Times New Roman" w:eastAsia="华文宋体" w:cs="Times New Roman"/>
          <w:color w:val="FF0000"/>
          <w:sz w:val="28"/>
          <w:szCs w:val="28"/>
          <w:lang w:val="en-US" w:eastAsia="zh-CN"/>
        </w:rPr>
        <w:t>青春绿色行动等形式多样的义务植树活动，鼓励社会各界建设企业林、青年林、巾帼林等纪念林，不断丰富全民义务植树内涵，积极</w:t>
      </w:r>
      <w:r>
        <w:rPr>
          <w:rFonts w:ascii="Times New Roman" w:hAnsi="Times New Roman" w:eastAsia="华文宋体" w:cs="Times New Roman"/>
          <w:color w:val="FF0000"/>
          <w:sz w:val="28"/>
          <w:szCs w:val="28"/>
        </w:rPr>
        <w:t>拓宽义务植树活动空间，</w:t>
      </w:r>
      <w:r>
        <w:rPr>
          <w:rFonts w:hint="eastAsia" w:ascii="Times New Roman" w:hAnsi="Times New Roman" w:eastAsia="华文宋体" w:cs="Times New Roman"/>
          <w:color w:val="FF0000"/>
          <w:sz w:val="28"/>
          <w:szCs w:val="28"/>
          <w:lang w:val="en-US" w:eastAsia="zh-CN"/>
        </w:rPr>
        <w:t>在全市形成“人人争先参与国土绿化，人人争创国家森林城市”的浓厚社会氛围。</w:t>
      </w:r>
      <w:r>
        <w:rPr>
          <w:rFonts w:ascii="Times New Roman" w:hAnsi="Times New Roman" w:eastAsia="华文宋体" w:cs="Times New Roman"/>
          <w:color w:val="000000" w:themeColor="text1"/>
          <w:sz w:val="28"/>
          <w:szCs w:val="28"/>
          <w14:textFill>
            <w14:solidFill>
              <w14:schemeClr w14:val="tx1"/>
            </w14:solidFill>
          </w14:textFill>
        </w:rPr>
        <w:t>创森期间，邹城市全民义务植树绿化基地的建设成果显著，</w:t>
      </w:r>
      <w:r>
        <w:rPr>
          <w:rFonts w:ascii="Times New Roman" w:hAnsi="Times New Roman" w:eastAsia="华文宋体" w:cs="Times New Roman"/>
          <w:color w:val="FF0000"/>
          <w:sz w:val="28"/>
          <w:szCs w:val="28"/>
        </w:rPr>
        <w:t>2016年度全市义务植树基地达35个，绿化面积</w:t>
      </w:r>
      <w:r>
        <w:rPr>
          <w:rFonts w:hint="eastAsia" w:ascii="Times New Roman" w:hAnsi="Times New Roman" w:eastAsia="华文宋体" w:cs="Times New Roman"/>
          <w:color w:val="FF0000"/>
          <w:sz w:val="28"/>
          <w:szCs w:val="28"/>
          <w:lang w:val="en-US" w:eastAsia="zh-CN"/>
        </w:rPr>
        <w:t>676</w:t>
      </w:r>
      <w:r>
        <w:rPr>
          <w:rFonts w:ascii="Times New Roman" w:hAnsi="Times New Roman" w:eastAsia="华文宋体" w:cs="Times New Roman"/>
          <w:color w:val="FF0000"/>
          <w:sz w:val="28"/>
          <w:szCs w:val="28"/>
        </w:rPr>
        <w:t>hm²；2017年度全市义务植树基地达28个，绿化面积为</w:t>
      </w:r>
      <w:r>
        <w:rPr>
          <w:rFonts w:hint="eastAsia" w:ascii="Times New Roman" w:hAnsi="Times New Roman" w:eastAsia="华文宋体" w:cs="Times New Roman"/>
          <w:color w:val="FF0000"/>
          <w:sz w:val="28"/>
          <w:szCs w:val="28"/>
          <w:lang w:val="en-US" w:eastAsia="zh-CN"/>
        </w:rPr>
        <w:t>342.6</w:t>
      </w:r>
      <w:r>
        <w:rPr>
          <w:rFonts w:ascii="Times New Roman" w:hAnsi="Times New Roman" w:eastAsia="华文宋体" w:cs="Times New Roman"/>
          <w:color w:val="FF0000"/>
          <w:sz w:val="28"/>
          <w:szCs w:val="28"/>
        </w:rPr>
        <w:t>hm²。</w:t>
      </w:r>
    </w:p>
    <w:p>
      <w:pPr>
        <w:spacing w:line="360" w:lineRule="auto"/>
        <w:ind w:firstLine="560" w:firstLineChars="200"/>
        <w:rPr>
          <w:rFonts w:ascii="Times New Roman" w:hAnsi="Times New Roman" w:eastAsia="华文宋体" w:cs="Times New Roman"/>
          <w:color w:val="FF0000"/>
          <w:sz w:val="28"/>
          <w:szCs w:val="28"/>
        </w:rPr>
      </w:pPr>
      <w:r>
        <w:rPr>
          <w:rFonts w:ascii="Times New Roman" w:hAnsi="Times New Roman" w:eastAsia="华文宋体" w:cs="Times New Roman"/>
          <w:color w:val="FF0000"/>
          <w:sz w:val="28"/>
          <w:szCs w:val="28"/>
        </w:rPr>
        <w:t>据统计，2016年邹城市义务植树</w:t>
      </w:r>
      <w:r>
        <w:rPr>
          <w:rFonts w:hint="eastAsia" w:ascii="Times New Roman" w:hAnsi="Times New Roman" w:eastAsia="华文宋体" w:cs="Times New Roman"/>
          <w:color w:val="FF0000"/>
          <w:sz w:val="28"/>
          <w:szCs w:val="28"/>
          <w:lang w:val="en-US" w:eastAsia="zh-CN"/>
        </w:rPr>
        <w:t>205.6</w:t>
      </w:r>
      <w:r>
        <w:rPr>
          <w:rFonts w:ascii="Times New Roman" w:hAnsi="Times New Roman" w:eastAsia="华文宋体" w:cs="Times New Roman"/>
          <w:color w:val="FF0000"/>
          <w:sz w:val="28"/>
          <w:szCs w:val="28"/>
        </w:rPr>
        <w:t>万株，参加人数达</w:t>
      </w:r>
      <w:r>
        <w:rPr>
          <w:rFonts w:hint="eastAsia" w:ascii="Times New Roman" w:hAnsi="Times New Roman" w:eastAsia="华文宋体" w:cs="Times New Roman"/>
          <w:color w:val="FF0000"/>
          <w:sz w:val="28"/>
          <w:szCs w:val="28"/>
          <w:lang w:val="en-US" w:eastAsia="zh-CN"/>
        </w:rPr>
        <w:t>59.54</w:t>
      </w:r>
      <w:r>
        <w:rPr>
          <w:rFonts w:ascii="Times New Roman" w:hAnsi="Times New Roman" w:eastAsia="华文宋体" w:cs="Times New Roman"/>
          <w:color w:val="FF0000"/>
          <w:sz w:val="28"/>
          <w:szCs w:val="28"/>
        </w:rPr>
        <w:t>万人，尽责率93.</w:t>
      </w:r>
      <w:r>
        <w:rPr>
          <w:rFonts w:hint="eastAsia" w:ascii="Times New Roman" w:hAnsi="Times New Roman" w:eastAsia="华文宋体" w:cs="Times New Roman"/>
          <w:color w:val="FF0000"/>
          <w:sz w:val="28"/>
          <w:szCs w:val="28"/>
          <w:lang w:val="en-US" w:eastAsia="zh-CN"/>
        </w:rPr>
        <w:t>8</w:t>
      </w:r>
      <w:r>
        <w:rPr>
          <w:rFonts w:ascii="Times New Roman" w:hAnsi="Times New Roman" w:eastAsia="华文宋体" w:cs="Times New Roman"/>
          <w:color w:val="FF0000"/>
          <w:sz w:val="28"/>
          <w:szCs w:val="28"/>
        </w:rPr>
        <w:t>%，建卡率100%，成活率为</w:t>
      </w:r>
      <w:r>
        <w:rPr>
          <w:rFonts w:hint="eastAsia" w:ascii="Times New Roman" w:hAnsi="Times New Roman" w:eastAsia="华文宋体" w:cs="Times New Roman"/>
          <w:color w:val="FF0000"/>
          <w:sz w:val="28"/>
          <w:szCs w:val="28"/>
          <w:lang w:val="en-US" w:eastAsia="zh-CN"/>
        </w:rPr>
        <w:t>91.9</w:t>
      </w:r>
      <w:r>
        <w:rPr>
          <w:rFonts w:ascii="Times New Roman" w:hAnsi="Times New Roman" w:eastAsia="华文宋体" w:cs="Times New Roman"/>
          <w:color w:val="FF0000"/>
          <w:sz w:val="28"/>
          <w:szCs w:val="28"/>
        </w:rPr>
        <w:t>%。2017年</w:t>
      </w:r>
      <w:r>
        <w:rPr>
          <w:rFonts w:hint="eastAsia" w:ascii="Times New Roman" w:hAnsi="Times New Roman" w:eastAsia="华文宋体" w:cs="Times New Roman"/>
          <w:color w:val="FF0000"/>
          <w:sz w:val="28"/>
          <w:szCs w:val="28"/>
          <w:lang w:val="en-US" w:eastAsia="zh-CN"/>
        </w:rPr>
        <w:t>邹城</w:t>
      </w:r>
      <w:r>
        <w:rPr>
          <w:rFonts w:ascii="Times New Roman" w:hAnsi="Times New Roman" w:eastAsia="华文宋体" w:cs="Times New Roman"/>
          <w:color w:val="FF0000"/>
          <w:sz w:val="28"/>
          <w:szCs w:val="28"/>
        </w:rPr>
        <w:t>市义务植树 198.6万株，参加人数达59.12万人，植树尽责率为93.3%，建卡率达100%，成活率为92.2%。2018年</w:t>
      </w:r>
      <w:r>
        <w:rPr>
          <w:rFonts w:hint="eastAsia" w:ascii="Times New Roman" w:hAnsi="Times New Roman" w:eastAsia="华文宋体" w:cs="Times New Roman"/>
          <w:color w:val="FF0000"/>
          <w:sz w:val="28"/>
          <w:szCs w:val="28"/>
          <w:lang w:val="en-US" w:eastAsia="zh-CN"/>
        </w:rPr>
        <w:t>邹城</w:t>
      </w:r>
      <w:r>
        <w:rPr>
          <w:rFonts w:ascii="Times New Roman" w:hAnsi="Times New Roman" w:eastAsia="华文宋体" w:cs="Times New Roman"/>
          <w:color w:val="FF0000"/>
          <w:sz w:val="28"/>
          <w:szCs w:val="28"/>
        </w:rPr>
        <w:t>市义务植树194.2万株，参加人数60.02万人，植树尽责率为93.8%，建卡率100%，成活率为92.6%。</w:t>
      </w:r>
    </w:p>
    <w:p>
      <w:pPr>
        <w:pStyle w:val="5"/>
      </w:pPr>
      <w:r>
        <w:rPr>
          <w:rFonts w:hint="eastAsia"/>
        </w:rPr>
        <w:t xml:space="preserve">4.2.4 </w:t>
      </w:r>
      <w:r>
        <w:t>支撑材料</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山东省邹城市创建国家森林城市绿化成果专项调查报告</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邹城市全民义务植树尽责率、建卡率统计表</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2016-2018年度邹城市全民义务植树基地及投资情况统计表</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邹城市绿化委员会关于开展2015-2017年度全民义务植树活动的通知（邹绿发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﹝2015﹞</w:t>
      </w:r>
      <w:r>
        <w:rPr>
          <w:rFonts w:ascii="Times New Roman" w:hAnsi="Times New Roman" w:eastAsia="华文宋体" w:cs="Times New Roman"/>
          <w:color w:val="000000" w:themeColor="text1"/>
          <w:sz w:val="28"/>
          <w:szCs w:val="28"/>
          <w14:textFill>
            <w14:solidFill>
              <w14:schemeClr w14:val="tx1"/>
            </w14:solidFill>
          </w14:textFill>
        </w:rPr>
        <w:t>5号、邹绿发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8号、邹绿发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4号）</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2015-2017年度年领导干部3·12义务植树活动方案</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共青团邹城市委关于举办2017年全市青少年义务植树活动的通知</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邹城市绿化委员会关于深入开展全民义务植树活动加快农村庭院、社区绿地、单位院落绿化的通知（邹绿发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10号）</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邹城市妇联关于开展“巾帼植树增绿在行动”的通知</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邹城市妇联关于开展巾帼林活动情况的汇报及建设情况统</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在2017全市青少年义务植树活动上的讲话</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2015年邹城市关于雨季义务植树活动情况的汇报</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济宁市公路管理局积极开展春季义务植树造林活动</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在济宁青少年绿色联盟成立2016年全市青少年植树活动启动仪式上的致辞</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共青团邹城市委、邹城市林业局关于评选邹城市级青少年绿化基地的通知（邹青联发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6号）</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邹城市绿化委员会关于建立全民义务植树登记卡制度的通知（邹绿发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 xml:space="preserve">26号）  </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邹城市绿化委员会关于开展林地林木认建认养活动的意见 （邹绿发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 xml:space="preserve">27号）   </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“青春绿色行动 共建美丽邹城”倡议书</w:t>
      </w:r>
    </w:p>
    <w:p>
      <w:pPr>
        <w:pStyle w:val="17"/>
        <w:numPr>
          <w:ilvl w:val="0"/>
          <w:numId w:val="29"/>
        </w:numPr>
        <w:spacing w:line="360" w:lineRule="auto"/>
        <w:ind w:firstLine="560" w:firstLineChars="200"/>
        <w:jc w:val="both"/>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照片</w:t>
      </w:r>
    </w:p>
    <w:p>
      <w:pPr>
        <w:pStyle w:val="4"/>
      </w:pPr>
      <w:bookmarkStart w:id="41" w:name="_Toc519373568"/>
      <w:r>
        <w:rPr>
          <w:rFonts w:hint="eastAsia"/>
        </w:rPr>
        <w:t xml:space="preserve">4.3 </w:t>
      </w:r>
      <w:r>
        <w:t>科普活动</w:t>
      </w:r>
      <w:bookmarkEnd w:id="41"/>
    </w:p>
    <w:p>
      <w:pPr>
        <w:pStyle w:val="5"/>
      </w:pPr>
      <w:r>
        <w:rPr>
          <w:rFonts w:hint="eastAsia"/>
        </w:rPr>
        <w:t xml:space="preserve">4.3.1 </w:t>
      </w:r>
      <w:r>
        <w:t>指标要求</w:t>
      </w:r>
    </w:p>
    <w:p>
      <w:pPr>
        <w:pStyle w:val="22"/>
        <w:spacing w:line="360" w:lineRule="auto"/>
        <w:ind w:firstLine="565" w:firstLineChars="202"/>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每年举办市级生态科普活动5次以上。</w:t>
      </w:r>
    </w:p>
    <w:p>
      <w:pPr>
        <w:pStyle w:val="5"/>
      </w:pPr>
      <w:r>
        <w:rPr>
          <w:rFonts w:hint="eastAsia"/>
        </w:rPr>
        <w:t xml:space="preserve">4.3.2 </w:t>
      </w:r>
      <w:r>
        <w:t>调查方法</w:t>
      </w:r>
    </w:p>
    <w:p>
      <w:pPr>
        <w:pStyle w:val="22"/>
        <w:spacing w:line="360" w:lineRule="auto"/>
        <w:ind w:firstLine="565" w:firstLineChars="202"/>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根据各地提供资料，结合问卷调查。</w:t>
      </w:r>
    </w:p>
    <w:p>
      <w:pPr>
        <w:pStyle w:val="5"/>
      </w:pPr>
      <w:r>
        <w:rPr>
          <w:rFonts w:hint="eastAsia"/>
        </w:rPr>
        <w:t xml:space="preserve">4.3.3 </w:t>
      </w:r>
      <w:r>
        <w:t>调查结果</w:t>
      </w:r>
    </w:p>
    <w:p>
      <w:pPr>
        <w:autoSpaceDE w:val="0"/>
        <w:autoSpaceDN w:val="0"/>
        <w:adjustRightInd w:val="0"/>
        <w:ind w:firstLine="560" w:firstLineChars="200"/>
        <w:rPr>
          <w:rFonts w:ascii="Times New Roman" w:hAnsi="Times New Roman" w:eastAsia="宋体" w:cs="Times New Roman"/>
          <w:kern w:val="0"/>
          <w:sz w:val="24"/>
          <w:szCs w:val="24"/>
        </w:rPr>
      </w:pPr>
      <w:r>
        <w:rPr>
          <w:rFonts w:ascii="Times New Roman" w:hAnsi="Times New Roman" w:eastAsia="华文宋体" w:cs="Times New Roman"/>
          <w:color w:val="000000" w:themeColor="text1"/>
          <w:sz w:val="28"/>
          <w:szCs w:val="28"/>
          <w14:textFill>
            <w14:solidFill>
              <w14:schemeClr w14:val="tx1"/>
            </w14:solidFill>
          </w14:textFill>
        </w:rPr>
        <w:t>达标。自开展创建国家森林城市工作以来，邹城市先后由市委宣传部、团市委、市林业局、市科协、市环保局、市科技局等单位定期主办，在全市科普教育基地、市区公园、各大湿地公园、森林公园、自然保护区等地开展森林防火知识宣传活动、义务植树科普活动、环境日宣传、野生动植物保护宣传等科普活动；全市通过电视广播、报纸、广告牌等多种媒介方式进行科普活动的宣传，极大地提高了公民的生态环境保护意识。2017年举办了“小手拉大手，共度绿色中国年”、湿地日宣传活动、植树节活动、“六五”环境日宣传活动、“土地日”主题宣传活动等。自创森以来，全城每年举办市级生态科普活动均达到5次以上。</w:t>
      </w:r>
    </w:p>
    <w:p>
      <w:pPr>
        <w:pStyle w:val="5"/>
      </w:pPr>
      <w:r>
        <w:rPr>
          <w:rFonts w:hint="eastAsia"/>
        </w:rPr>
        <w:t xml:space="preserve">4.3.4 </w:t>
      </w:r>
      <w:r>
        <w:t>支撑材料</w:t>
      </w:r>
    </w:p>
    <w:p>
      <w:pPr>
        <w:numPr>
          <w:ilvl w:val="0"/>
          <w:numId w:val="30"/>
        </w:numPr>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山东省邹城市创建国家森林城市绿化成果专项调查报告</w:t>
      </w:r>
    </w:p>
    <w:p>
      <w:pPr>
        <w:numPr>
          <w:ilvl w:val="0"/>
          <w:numId w:val="30"/>
        </w:numPr>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邹城市2016-2018年科普活动统计表</w:t>
      </w:r>
    </w:p>
    <w:p>
      <w:pPr>
        <w:numPr>
          <w:ilvl w:val="0"/>
          <w:numId w:val="30"/>
        </w:numPr>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2014-2018年湿地日科普活动开展一览表</w:t>
      </w:r>
    </w:p>
    <w:p>
      <w:pPr>
        <w:numPr>
          <w:ilvl w:val="0"/>
          <w:numId w:val="30"/>
        </w:numPr>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邹城市环境保护委员会关于做好2017年“六五”环境日系列宣传活动的通知（邹环委字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 xml:space="preserve">5号）  </w:t>
      </w:r>
    </w:p>
    <w:p>
      <w:pPr>
        <w:numPr>
          <w:ilvl w:val="0"/>
          <w:numId w:val="30"/>
        </w:numPr>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邹城市环境保护委员会关于印发2016年“六五”环境日宣传活动实施方案的通知 （邹环委字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3号）</w:t>
      </w:r>
    </w:p>
    <w:p>
      <w:pPr>
        <w:numPr>
          <w:ilvl w:val="0"/>
          <w:numId w:val="30"/>
        </w:numPr>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邹城市环境保护委员关于印发2015年“六五”环境日宣传活动实施方案的通知（邹环委字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﹝2015﹞</w:t>
      </w:r>
      <w:r>
        <w:rPr>
          <w:rFonts w:ascii="Times New Roman" w:hAnsi="Times New Roman" w:eastAsia="华文宋体" w:cs="Times New Roman"/>
          <w:color w:val="000000" w:themeColor="text1"/>
          <w:sz w:val="28"/>
          <w:szCs w:val="28"/>
          <w14:textFill>
            <w14:solidFill>
              <w14:schemeClr w14:val="tx1"/>
            </w14:solidFill>
          </w14:textFill>
        </w:rPr>
        <w:t xml:space="preserve">5号）  </w:t>
      </w:r>
    </w:p>
    <w:p>
      <w:pPr>
        <w:numPr>
          <w:ilvl w:val="0"/>
          <w:numId w:val="30"/>
        </w:numPr>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邹城市少工委关于转发《关于在寒假、春节期间开展“小手拉大手共度绿色中国年”专项行动的通知》的通知（邹少发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1号）</w:t>
      </w:r>
    </w:p>
    <w:p>
      <w:pPr>
        <w:numPr>
          <w:ilvl w:val="0"/>
          <w:numId w:val="30"/>
        </w:numPr>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邹城市国土资源局关于开展27个全国“土地日”主题宣传活动的通知（邹国土资发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ascii="Times New Roman" w:hAnsi="Times New Roman" w:eastAsia="华文宋体" w:cs="Times New Roman"/>
          <w:color w:val="000000" w:themeColor="text1"/>
          <w:sz w:val="28"/>
          <w:szCs w:val="28"/>
          <w14:textFill>
            <w14:solidFill>
              <w14:schemeClr w14:val="tx1"/>
            </w14:solidFill>
          </w14:textFill>
        </w:rPr>
        <w:t>29号）</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邹城市人民政府关于禁渔工作的通告（通告</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1号）</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2017年峄山丹参茶杯邹鲁农业公园首届梨花节活动</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2017“邹东深呼吸”一城前镇第三届蓝陵桃花会</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2017年大束镇葛炉山桃花节开幕式</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济宁市教育局、济宁市林业局关于公布济宁市第五批绿色生态校园学校名单的通知（济教字</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123号）</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济宁市勤工俭学管理处关于下发济宁市绿色生态校园、济宁市后勤管理示范化学校评估验收的通知（济勤管字</w:t>
      </w:r>
      <w:r>
        <w:rPr>
          <w:rFonts w:hint="eastAsia" w:ascii="Times New Roman" w:hAnsi="Times New Roman" w:eastAsia="华文宋体" w:cs="Times New Roman"/>
          <w:sz w:val="28"/>
          <w:szCs w:val="28"/>
          <w:lang w:eastAsia="zh-CN"/>
        </w:rPr>
        <w:t>﹝2017﹞</w:t>
      </w:r>
      <w:r>
        <w:rPr>
          <w:rFonts w:ascii="Times New Roman" w:hAnsi="Times New Roman" w:eastAsia="华文宋体" w:cs="Times New Roman"/>
          <w:sz w:val="28"/>
          <w:szCs w:val="28"/>
        </w:rPr>
        <w:t>12号）</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2017年梨花诗会暨香城镇乡村记忆工程启动仪式</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济宁市国土资源局关于贯彻鲁国土资字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81号文件开展第47个世界地球日主题宣传活动周的通知（济国土资发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16号）</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2016年关于禁渔工作的通告</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2016年关于在全市青少年中开展“绿色长征”公益健走活动的通知</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济宁市国土资源局关于开展第26个全国“土地日”主题宣传活动的通知（济国土资发</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30号）</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2015年关于响应团省委“山东青年碳汇林微公益行动</w:t>
      </w:r>
      <w:r>
        <w:rPr>
          <w:rFonts w:ascii="Times New Roman" w:hAnsi="Times New Roman" w:eastAsia="华文宋体" w:cs="Times New Roman"/>
          <w:color w:val="000000" w:themeColor="text1"/>
          <w:sz w:val="28"/>
          <w:szCs w:val="28"/>
          <w14:textFill>
            <w14:solidFill>
              <w14:schemeClr w14:val="tx1"/>
            </w14:solidFill>
          </w14:textFill>
        </w:rPr>
        <w:t>”</w:t>
      </w:r>
      <w:r>
        <w:rPr>
          <w:rFonts w:ascii="Times New Roman" w:hAnsi="Times New Roman" w:eastAsia="华文宋体" w:cs="Times New Roman"/>
          <w:sz w:val="28"/>
          <w:szCs w:val="28"/>
        </w:rPr>
        <w:t>的通知</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2015年关于在全市青少年中开展“绿色长征”公益健走活动的通知</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2015年关于转发全国保护母亲河领导小组《关于报送“寻找身边的绿色卫士”和“绿色团队”争创活动开展情况动态表的通知》的通知</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w:t>
      </w:r>
      <w:r>
        <w:rPr>
          <w:rFonts w:ascii="Times New Roman" w:hAnsi="Times New Roman" w:eastAsia="华文宋体" w:cs="Times New Roman"/>
          <w:color w:val="000000" w:themeColor="text1"/>
          <w:sz w:val="28"/>
          <w:szCs w:val="28"/>
          <w14:textFill>
            <w14:solidFill>
              <w14:schemeClr w14:val="tx1"/>
            </w14:solidFill>
          </w14:textFill>
        </w:rPr>
        <w:t>全面开展</w:t>
      </w:r>
      <w:r>
        <w:rPr>
          <w:rFonts w:ascii="Times New Roman" w:hAnsi="Times New Roman" w:eastAsia="华文宋体" w:cs="Times New Roman"/>
          <w:sz w:val="28"/>
          <w:szCs w:val="28"/>
        </w:rPr>
        <w:t xml:space="preserve">“小手拉大手共筑碧水蓝天”行动 </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邹城市生态文化节庆活动汇总一览表</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邹城市林业局、邹城市教育局关于推荐生态文化科普校园和生态文化科普教育基地的报告（邹林呈字</w:t>
      </w:r>
      <w:r>
        <w:rPr>
          <w:rFonts w:hint="eastAsia" w:ascii="Times New Roman" w:hAnsi="Times New Roman" w:eastAsia="华文宋体" w:cs="Times New Roman"/>
          <w:sz w:val="28"/>
          <w:szCs w:val="28"/>
          <w:lang w:eastAsia="zh-CN"/>
        </w:rPr>
        <w:t>﹝2016﹞</w:t>
      </w:r>
      <w:r>
        <w:rPr>
          <w:rFonts w:ascii="Times New Roman" w:hAnsi="Times New Roman" w:eastAsia="华文宋体" w:cs="Times New Roman"/>
          <w:sz w:val="28"/>
          <w:szCs w:val="28"/>
        </w:rPr>
        <w:t>38号）</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绿色长征公益健走活动图示</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倡导绿色生活保护共同家园宣传彩页</w:t>
      </w:r>
    </w:p>
    <w:p>
      <w:pPr>
        <w:numPr>
          <w:ilvl w:val="0"/>
          <w:numId w:val="30"/>
        </w:numPr>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照片</w:t>
      </w:r>
    </w:p>
    <w:p>
      <w:pPr>
        <w:pStyle w:val="4"/>
      </w:pPr>
      <w:bookmarkStart w:id="42" w:name="_Toc519373569"/>
      <w:r>
        <w:t>4.4 古树名木</w:t>
      </w:r>
      <w:bookmarkEnd w:id="42"/>
    </w:p>
    <w:p>
      <w:pPr>
        <w:pStyle w:val="5"/>
        <w:rPr>
          <w:sz w:val="30"/>
          <w:szCs w:val="30"/>
        </w:rPr>
      </w:pPr>
      <w:r>
        <w:rPr>
          <w:rFonts w:hint="eastAsia"/>
        </w:rPr>
        <w:t xml:space="preserve">4.4.1 </w:t>
      </w:r>
      <w:r>
        <w:t>指标要求</w:t>
      </w:r>
    </w:p>
    <w:p>
      <w:pPr>
        <w:pStyle w:val="22"/>
        <w:spacing w:line="360" w:lineRule="auto"/>
        <w:ind w:firstLine="565" w:firstLineChars="202"/>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古树名木管理规范，档案齐全，保护措施到位，古树名木保护率达100%。</w:t>
      </w:r>
    </w:p>
    <w:p>
      <w:pPr>
        <w:pStyle w:val="5"/>
      </w:pPr>
      <w:r>
        <w:rPr>
          <w:rFonts w:hint="eastAsia"/>
        </w:rPr>
        <w:t xml:space="preserve">4.4.2 </w:t>
      </w:r>
      <w:r>
        <w:t>调查方法</w:t>
      </w:r>
    </w:p>
    <w:p>
      <w:pPr>
        <w:pStyle w:val="22"/>
        <w:spacing w:line="360" w:lineRule="auto"/>
        <w:ind w:firstLine="565" w:firstLineChars="202"/>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根据山东省古树名木数据库相关数据，结合抽样调查。</w:t>
      </w:r>
    </w:p>
    <w:p>
      <w:pPr>
        <w:pStyle w:val="5"/>
      </w:pPr>
      <w:r>
        <w:rPr>
          <w:rFonts w:hint="eastAsia"/>
        </w:rPr>
        <w:t xml:space="preserve">4.4.3 </w:t>
      </w:r>
      <w:r>
        <w:t>调查结果</w:t>
      </w:r>
    </w:p>
    <w:p>
      <w:pPr>
        <w:pStyle w:val="22"/>
        <w:spacing w:line="360" w:lineRule="auto"/>
        <w:ind w:firstLine="565" w:firstLineChars="202"/>
        <w:rPr>
          <w:rFonts w:ascii="Times New Roman" w:hAnsi="Times New Roman" w:eastAsia="宋体" w:cs="Times New Roman"/>
          <w:kern w:val="0"/>
          <w:sz w:val="28"/>
          <w:szCs w:val="28"/>
        </w:rPr>
      </w:pPr>
      <w:r>
        <w:rPr>
          <w:rFonts w:ascii="Times New Roman" w:hAnsi="Times New Roman" w:eastAsia="华文宋体" w:cs="Times New Roman"/>
          <w:color w:val="000000" w:themeColor="text1"/>
          <w:sz w:val="28"/>
          <w:szCs w:val="28"/>
          <w14:textFill>
            <w14:solidFill>
              <w14:schemeClr w14:val="tx1"/>
            </w14:solidFill>
          </w14:textFill>
        </w:rPr>
        <w:t>达标。邹城市文化历史悠久，所辖区内多处分布古树名木，共有古树10077株，是山东省古树名木最多的地区之一，主要包含侧柏、圆柏、</w:t>
      </w:r>
      <w:r>
        <w:rPr>
          <w:rFonts w:ascii="Times New Roman" w:hAnsi="Times New Roman" w:eastAsia="华文宋体" w:cs="Times New Roman"/>
          <w:color w:val="FF0000"/>
          <w:sz w:val="28"/>
          <w:szCs w:val="28"/>
        </w:rPr>
        <w:t>皂</w:t>
      </w:r>
      <w:r>
        <w:rPr>
          <w:rFonts w:hint="eastAsia" w:ascii="Times New Roman" w:hAnsi="Times New Roman" w:eastAsia="华文宋体" w:cs="Times New Roman"/>
          <w:color w:val="FF0000"/>
          <w:sz w:val="28"/>
          <w:szCs w:val="28"/>
          <w:lang w:val="en-US" w:eastAsia="zh-CN"/>
        </w:rPr>
        <w:t>荚</w:t>
      </w:r>
      <w:r>
        <w:rPr>
          <w:rFonts w:ascii="Times New Roman" w:hAnsi="Times New Roman" w:eastAsia="华文宋体" w:cs="Times New Roman"/>
          <w:color w:val="000000" w:themeColor="text1"/>
          <w:sz w:val="28"/>
          <w:szCs w:val="28"/>
          <w14:textFill>
            <w14:solidFill>
              <w14:schemeClr w14:val="tx1"/>
            </w14:solidFill>
          </w14:textFill>
        </w:rPr>
        <w:t>、毛白杨、柳、石榴、桑树、银杏、紫藤、梓树等树种。其中国家一级古树8078株（500 年以上），国家二级古树650 株（300-499 年），国家三级古树1349株（100-299年）。对于市域范围内的古树名木，邹城市在普查、登记、建档的基础上，针对每株古树名木现状，一树一策，采取设置围栏、修枝整形、树洞修补、防治病虫害、支撑加固和复壮等多种技术手段，全部实施了保护。同时</w:t>
      </w:r>
      <w:r>
        <w:rPr>
          <w:rFonts w:ascii="Times New Roman" w:hAnsi="Times New Roman" w:eastAsia="宋体" w:cs="Times New Roman"/>
          <w:kern w:val="0"/>
          <w:sz w:val="28"/>
          <w:szCs w:val="28"/>
        </w:rPr>
        <w:t>对古树名木定期进行检查、复查</w:t>
      </w:r>
      <w:r>
        <w:rPr>
          <w:rFonts w:ascii="Times New Roman" w:hAnsi="Times New Roman" w:eastAsia="宋体" w:cs="Times New Roman"/>
          <w:color w:val="000000" w:themeColor="text1"/>
          <w:kern w:val="0"/>
          <w:sz w:val="28"/>
          <w:szCs w:val="28"/>
          <w14:textFill>
            <w14:solidFill>
              <w14:schemeClr w14:val="tx1"/>
            </w14:solidFill>
          </w14:textFill>
        </w:rPr>
        <w:t>，</w:t>
      </w:r>
      <w:r>
        <w:rPr>
          <w:rFonts w:ascii="Times New Roman" w:hAnsi="Times New Roman" w:eastAsia="宋体" w:cs="Times New Roman"/>
          <w:kern w:val="0"/>
          <w:sz w:val="28"/>
          <w:szCs w:val="28"/>
        </w:rPr>
        <w:t>落实保护管理责任制。</w:t>
      </w:r>
      <w:r>
        <w:rPr>
          <w:rFonts w:ascii="Times New Roman" w:hAnsi="Times New Roman" w:eastAsia="宋体" w:cs="Times New Roman"/>
          <w:color w:val="000000" w:themeColor="text1"/>
          <w:kern w:val="0"/>
          <w:sz w:val="28"/>
          <w:szCs w:val="28"/>
          <w14:textFill>
            <w14:solidFill>
              <w14:schemeClr w14:val="tx1"/>
            </w14:solidFill>
          </w14:textFill>
        </w:rPr>
        <w:t>特别地</w:t>
      </w:r>
      <w:r>
        <w:rPr>
          <w:rFonts w:ascii="Times New Roman" w:hAnsi="Times New Roman" w:eastAsia="宋体" w:cs="Times New Roman"/>
          <w:kern w:val="0"/>
          <w:sz w:val="28"/>
          <w:szCs w:val="28"/>
        </w:rPr>
        <w:t>针对三孟景区内的古树名木，充分采用新思路、新材料、新技术应用于古树保护的施工实践。根据统计，全市</w:t>
      </w:r>
      <w:r>
        <w:rPr>
          <w:rFonts w:ascii="Times New Roman" w:hAnsi="Times New Roman" w:eastAsia="华文宋体" w:cs="Times New Roman"/>
          <w:color w:val="000000" w:themeColor="text1"/>
          <w:sz w:val="28"/>
          <w:szCs w:val="28"/>
          <w14:textFill>
            <w14:solidFill>
              <w14:schemeClr w14:val="tx1"/>
            </w14:solidFill>
          </w14:textFill>
        </w:rPr>
        <w:t>古树名木保护率达100%。</w:t>
      </w:r>
    </w:p>
    <w:p>
      <w:pPr>
        <w:pStyle w:val="5"/>
      </w:pPr>
      <w:r>
        <w:rPr>
          <w:rFonts w:hint="eastAsia"/>
        </w:rPr>
        <w:t xml:space="preserve">4.4.4 </w:t>
      </w:r>
      <w:r>
        <w:t>支撑材料</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山东省邹城市创建国家森林城市绿化成果专项调查报告</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邹城市古树名木统计表</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邹城市古树名木名录</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邹城市古树认养情况统计表</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邹城市古树名木保护方案一览表</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邹城市人民政府关于印发邹城市古树名木保护管理办法的通知（邹政发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﹝2013﹞</w:t>
      </w:r>
      <w:r>
        <w:rPr>
          <w:rFonts w:ascii="Times New Roman" w:hAnsi="Times New Roman" w:eastAsia="华文宋体" w:cs="Times New Roman"/>
          <w:color w:val="000000" w:themeColor="text1"/>
          <w:sz w:val="28"/>
          <w:szCs w:val="28"/>
          <w14:textFill>
            <w14:solidFill>
              <w14:schemeClr w14:val="tx1"/>
            </w14:solidFill>
          </w14:textFill>
        </w:rPr>
        <w:t>5号）</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邹城市林业局关于切实做好古树名木保护工作的通知</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邹城市文物局关于城区古树名木和后备资源保护情况和保护措施</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邹城市城区古树主要病虫害防治措施</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邹城市林业局关于拨付2015年度古树名木保护资金的通知（邹林字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ascii="Times New Roman" w:hAnsi="Times New Roman" w:eastAsia="华文宋体" w:cs="Times New Roman"/>
          <w:color w:val="000000" w:themeColor="text1"/>
          <w:sz w:val="28"/>
          <w:szCs w:val="28"/>
          <w14:textFill>
            <w14:solidFill>
              <w14:schemeClr w14:val="tx1"/>
            </w14:solidFill>
          </w14:textFill>
        </w:rPr>
        <w:t>49号）</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邹城市林业局2015年古树名木保护工作方案</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三孟古树保护的科技创新之处</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邹城市文物局古树名木养护管理规定</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邹城市古树名木画册</w:t>
      </w:r>
    </w:p>
    <w:p>
      <w:pPr>
        <w:numPr>
          <w:ilvl w:val="0"/>
          <w:numId w:val="31"/>
        </w:num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照片</w:t>
      </w:r>
    </w:p>
    <w:p>
      <w:pPr>
        <w:pStyle w:val="4"/>
      </w:pPr>
      <w:bookmarkStart w:id="43" w:name="_Toc519373570"/>
      <w:r>
        <w:rPr>
          <w:rFonts w:hint="eastAsia"/>
        </w:rPr>
        <w:t xml:space="preserve">4.5 </w:t>
      </w:r>
      <w:r>
        <w:t>市树市花</w:t>
      </w:r>
      <w:bookmarkEnd w:id="43"/>
    </w:p>
    <w:p>
      <w:pPr>
        <w:pStyle w:val="5"/>
      </w:pPr>
      <w:r>
        <w:rPr>
          <w:rFonts w:hint="eastAsia"/>
        </w:rPr>
        <w:t xml:space="preserve">4.5.1 </w:t>
      </w:r>
      <w:r>
        <w:t>指标要求</w:t>
      </w:r>
    </w:p>
    <w:p>
      <w:pPr>
        <w:pStyle w:val="19"/>
        <w:spacing w:line="360" w:lineRule="auto"/>
        <w:ind w:firstLine="565" w:firstLineChars="202"/>
        <w:rPr>
          <w:rFonts w:ascii="Times New Roman" w:hAnsi="Times New Roman" w:eastAsia="华文宋体" w:cs="Times New Roman"/>
          <w:sz w:val="28"/>
          <w:szCs w:val="28"/>
        </w:rPr>
      </w:pPr>
      <w:r>
        <w:rPr>
          <w:rFonts w:ascii="Times New Roman" w:hAnsi="Times New Roman" w:eastAsia="华文宋体" w:cs="Times New Roman"/>
          <w:sz w:val="28"/>
          <w:szCs w:val="28"/>
        </w:rPr>
        <w:t>经依法民主议定，确定市树、市花，并在城乡绿化中广泛应用。</w:t>
      </w:r>
    </w:p>
    <w:p>
      <w:pPr>
        <w:pStyle w:val="5"/>
      </w:pPr>
      <w:r>
        <w:rPr>
          <w:rFonts w:hint="eastAsia"/>
        </w:rPr>
        <w:t xml:space="preserve">4.5.2 </w:t>
      </w:r>
      <w:r>
        <w:t>方法步骤</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查阅相关档案资料，实地查看。</w:t>
      </w:r>
    </w:p>
    <w:p>
      <w:pPr>
        <w:pStyle w:val="5"/>
      </w:pPr>
      <w:r>
        <w:rPr>
          <w:rFonts w:hint="eastAsia"/>
        </w:rPr>
        <w:t xml:space="preserve">4.5.3 </w:t>
      </w:r>
      <w:r>
        <w:t>自查结果</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市树市花是一个城市地域特色和人文特色的象征，是最生动、鲜活、彰显城市魅力的名片。市树市花的确定还能够有效地推进城市的生态文化建设，改善人居环境，增强人们的城市归属感。为推动全市创建国家森林城市，自2016年起，邹城市启动市树市花评选工作，采取网站、微信、报纸、信函等多种方式进行了公众投票。2017年4月邹城市召开市树市花专家评审会议，市绿化委员会对评审意见进行了审核，在《新邹城》、邹城林业信息网等媒介进行了为期20天的公示，2017年7月召开了市政府常务会议，对市树市花公众投票结果及专家评审意见进行了审定，同意推荐市树为皂荚、市花为月季，2017年8月邹城市第十八届人大常委会第四次会议通过皂荚为</w:t>
      </w:r>
      <w:r>
        <w:rPr>
          <w:rFonts w:ascii="Times New Roman" w:hAnsi="Times New Roman" w:eastAsia="华文宋体" w:cs="Times New Roman"/>
          <w:color w:val="FF0000"/>
          <w:sz w:val="28"/>
          <w:szCs w:val="28"/>
        </w:rPr>
        <w:t>市树</w:t>
      </w:r>
      <w:r>
        <w:rPr>
          <w:rFonts w:hint="eastAsia" w:ascii="Times New Roman" w:hAnsi="Times New Roman" w:eastAsia="华文宋体" w:cs="Times New Roman"/>
          <w:color w:val="FF0000"/>
          <w:sz w:val="28"/>
          <w:szCs w:val="28"/>
          <w:lang w:eastAsia="zh-CN"/>
        </w:rPr>
        <w:t>、</w:t>
      </w:r>
      <w:r>
        <w:rPr>
          <w:rFonts w:ascii="Times New Roman" w:hAnsi="Times New Roman" w:eastAsia="华文宋体" w:cs="Times New Roman"/>
          <w:color w:val="FF0000"/>
          <w:sz w:val="28"/>
          <w:szCs w:val="28"/>
        </w:rPr>
        <w:t>月季为市花</w:t>
      </w:r>
      <w:r>
        <w:rPr>
          <w:rFonts w:hint="eastAsia" w:ascii="Times New Roman" w:hAnsi="Times New Roman" w:eastAsia="华文宋体" w:cs="Times New Roman"/>
          <w:color w:val="FF0000"/>
          <w:sz w:val="28"/>
          <w:szCs w:val="28"/>
          <w:lang w:eastAsia="zh-CN"/>
        </w:rPr>
        <w:t>，</w:t>
      </w:r>
      <w:r>
        <w:rPr>
          <w:rFonts w:hint="eastAsia" w:ascii="Times New Roman" w:hAnsi="Times New Roman" w:eastAsia="华文宋体" w:cs="Times New Roman"/>
          <w:color w:val="FF0000"/>
          <w:sz w:val="28"/>
          <w:szCs w:val="28"/>
          <w:lang w:val="en-US" w:eastAsia="zh-CN"/>
        </w:rPr>
        <w:t>并</w:t>
      </w:r>
      <w:r>
        <w:rPr>
          <w:rFonts w:ascii="Times New Roman" w:hAnsi="Times New Roman" w:eastAsia="华文宋体" w:cs="Times New Roman"/>
          <w:color w:val="FF0000"/>
          <w:sz w:val="28"/>
          <w:szCs w:val="28"/>
        </w:rPr>
        <w:t>在各新闻媒体上</w:t>
      </w:r>
      <w:r>
        <w:rPr>
          <w:rFonts w:ascii="Times New Roman" w:hAnsi="Times New Roman" w:eastAsia="华文宋体" w:cs="Times New Roman"/>
          <w:sz w:val="28"/>
          <w:szCs w:val="28"/>
        </w:rPr>
        <w:t>向全社会公布市树市花的评选结果，加大了市树市花的宣传力度，提升了市民认知度，增强了城市生态文化内涵。</w:t>
      </w:r>
    </w:p>
    <w:p>
      <w:pPr>
        <w:pStyle w:val="5"/>
      </w:pPr>
      <w:r>
        <w:rPr>
          <w:rFonts w:hint="eastAsia"/>
        </w:rPr>
        <w:t xml:space="preserve">4.5.4 </w:t>
      </w:r>
      <w:r>
        <w:t>支撑材料</w:t>
      </w:r>
    </w:p>
    <w:p>
      <w:pPr>
        <w:pStyle w:val="19"/>
        <w:numPr>
          <w:ilvl w:val="0"/>
          <w:numId w:val="32"/>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邹城市绿化委员会关于印发《关于开展“市树、市花”评选活动的公告》的通知（邹绿发</w:t>
      </w:r>
      <w:r>
        <w:rPr>
          <w:rFonts w:hint="eastAsia" w:ascii="Times New Roman" w:hAnsi="Times New Roman" w:eastAsia="华文宋体" w:cs="Times New Roman"/>
          <w:color w:val="FF0000"/>
          <w:sz w:val="28"/>
          <w:szCs w:val="28"/>
          <w:lang w:eastAsia="zh-CN"/>
        </w:rPr>
        <w:t>﹝2016﹞</w:t>
      </w:r>
      <w:r>
        <w:rPr>
          <w:rFonts w:hint="eastAsia" w:ascii="Times New Roman" w:hAnsi="Times New Roman" w:eastAsia="华文宋体" w:cs="Times New Roman"/>
          <w:color w:val="FF0000"/>
          <w:sz w:val="28"/>
          <w:szCs w:val="28"/>
        </w:rPr>
        <w:t>23号）</w:t>
      </w:r>
    </w:p>
    <w:p>
      <w:pPr>
        <w:pStyle w:val="19"/>
        <w:numPr>
          <w:ilvl w:val="0"/>
          <w:numId w:val="32"/>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创建国家森林城市邹城市“市树市花”评选</w:t>
      </w:r>
    </w:p>
    <w:p>
      <w:pPr>
        <w:pStyle w:val="19"/>
        <w:numPr>
          <w:ilvl w:val="0"/>
          <w:numId w:val="32"/>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市树市花评审专家名单</w:t>
      </w:r>
    </w:p>
    <w:p>
      <w:pPr>
        <w:pStyle w:val="19"/>
        <w:numPr>
          <w:ilvl w:val="0"/>
          <w:numId w:val="32"/>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邹城市“市树、市花”专家评审意见</w:t>
      </w:r>
    </w:p>
    <w:p>
      <w:pPr>
        <w:pStyle w:val="19"/>
        <w:numPr>
          <w:ilvl w:val="0"/>
          <w:numId w:val="32"/>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邹城市绿化委员会关于邹城市候选“市树、市花”的公示</w:t>
      </w:r>
    </w:p>
    <w:p>
      <w:pPr>
        <w:pStyle w:val="19"/>
        <w:numPr>
          <w:ilvl w:val="0"/>
          <w:numId w:val="32"/>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关于市树市花评选和国有林场改革的情况汇报</w:t>
      </w:r>
    </w:p>
    <w:p>
      <w:pPr>
        <w:pStyle w:val="19"/>
        <w:numPr>
          <w:ilvl w:val="0"/>
          <w:numId w:val="32"/>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邹城市第十八届人民政府常务会议纪要（第5次）</w:t>
      </w:r>
    </w:p>
    <w:p>
      <w:pPr>
        <w:pStyle w:val="19"/>
        <w:numPr>
          <w:ilvl w:val="0"/>
          <w:numId w:val="32"/>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邹城市人民政府关于提请确定邹城市市树市花的议案（邹政字</w:t>
      </w:r>
      <w:r>
        <w:rPr>
          <w:rFonts w:hint="eastAsia" w:ascii="Times New Roman" w:hAnsi="Times New Roman" w:eastAsia="华文宋体" w:cs="Times New Roman"/>
          <w:color w:val="FF0000"/>
          <w:sz w:val="28"/>
          <w:szCs w:val="28"/>
          <w:lang w:eastAsia="zh-CN"/>
        </w:rPr>
        <w:t>﹝2017﹞</w:t>
      </w:r>
      <w:r>
        <w:rPr>
          <w:rFonts w:hint="eastAsia" w:ascii="Times New Roman" w:hAnsi="Times New Roman" w:eastAsia="华文宋体" w:cs="Times New Roman"/>
          <w:color w:val="FF0000"/>
          <w:sz w:val="28"/>
          <w:szCs w:val="28"/>
        </w:rPr>
        <w:t>162号）</w:t>
      </w:r>
    </w:p>
    <w:p>
      <w:pPr>
        <w:pStyle w:val="19"/>
        <w:numPr>
          <w:ilvl w:val="0"/>
          <w:numId w:val="32"/>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邹城市人大常委会关于批准邹城市市树、市花的决定（邹人发</w:t>
      </w:r>
      <w:r>
        <w:rPr>
          <w:rFonts w:hint="eastAsia" w:ascii="Times New Roman" w:hAnsi="Times New Roman" w:eastAsia="华文宋体" w:cs="Times New Roman"/>
          <w:color w:val="FF0000"/>
          <w:sz w:val="28"/>
          <w:szCs w:val="28"/>
          <w:lang w:eastAsia="zh-CN"/>
        </w:rPr>
        <w:t>﹝2017﹞</w:t>
      </w:r>
      <w:r>
        <w:rPr>
          <w:rFonts w:hint="eastAsia" w:ascii="Times New Roman" w:hAnsi="Times New Roman" w:eastAsia="华文宋体" w:cs="Times New Roman"/>
          <w:color w:val="FF0000"/>
          <w:sz w:val="28"/>
          <w:szCs w:val="28"/>
        </w:rPr>
        <w:t>25号）</w:t>
      </w:r>
    </w:p>
    <w:p>
      <w:pPr>
        <w:pStyle w:val="19"/>
        <w:numPr>
          <w:ilvl w:val="0"/>
          <w:numId w:val="32"/>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照片</w:t>
      </w:r>
    </w:p>
    <w:p>
      <w:pPr>
        <w:pStyle w:val="4"/>
      </w:pPr>
      <w:bookmarkStart w:id="44" w:name="_Toc519373571"/>
      <w:r>
        <w:rPr>
          <w:rFonts w:hint="eastAsia"/>
        </w:rPr>
        <w:t xml:space="preserve">4.6 </w:t>
      </w:r>
      <w:r>
        <w:t>公众态度</w:t>
      </w:r>
      <w:bookmarkEnd w:id="44"/>
    </w:p>
    <w:p>
      <w:pPr>
        <w:pStyle w:val="5"/>
      </w:pPr>
      <w:r>
        <w:rPr>
          <w:rFonts w:hint="eastAsia"/>
        </w:rPr>
        <w:t xml:space="preserve">4.6.1 </w:t>
      </w:r>
      <w:r>
        <w:t>指标要求</w:t>
      </w:r>
    </w:p>
    <w:p>
      <w:pPr>
        <w:pStyle w:val="19"/>
        <w:spacing w:line="360" w:lineRule="auto"/>
        <w:ind w:firstLine="565" w:firstLineChars="202"/>
        <w:rPr>
          <w:rFonts w:ascii="Times New Roman" w:hAnsi="Times New Roman" w:eastAsia="华文宋体" w:cs="Times New Roman"/>
          <w:sz w:val="28"/>
          <w:szCs w:val="28"/>
        </w:rPr>
      </w:pPr>
      <w:r>
        <w:rPr>
          <w:rFonts w:ascii="Times New Roman" w:hAnsi="Times New Roman" w:eastAsia="华文宋体" w:cs="Times New Roman"/>
          <w:sz w:val="28"/>
          <w:szCs w:val="28"/>
        </w:rPr>
        <w:t>公众对森林城市建设的满意度应达到 90%以上。</w:t>
      </w:r>
    </w:p>
    <w:p>
      <w:pPr>
        <w:pStyle w:val="5"/>
      </w:pPr>
      <w:r>
        <w:rPr>
          <w:rFonts w:hint="eastAsia"/>
        </w:rPr>
        <w:t xml:space="preserve">4.6.2 </w:t>
      </w:r>
      <w:r>
        <w:t>方法步骤</w:t>
      </w:r>
    </w:p>
    <w:p>
      <w:pPr>
        <w:pStyle w:val="19"/>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通过问卷调查、电话询问、街头随机访谈等调查方式，统计市民对邹城市创建国家森林城市的支持率和满意度。</w:t>
      </w:r>
    </w:p>
    <w:p>
      <w:pPr>
        <w:pStyle w:val="5"/>
      </w:pPr>
      <w:r>
        <w:rPr>
          <w:rFonts w:hint="eastAsia"/>
        </w:rPr>
        <w:t xml:space="preserve">4.6.3 </w:t>
      </w:r>
      <w:r>
        <w:t>自查结果</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为营造全市动员、全民支持、全社会参与国家森林城市的浓厚舆论氛围，自创建国家森林城市以来，邹城市开展了多种形式的宣传活动。一是依靠媒体、网络等宣传平台全方位报道创森工作进展。通过《新邹城》、市广播电视台、外宣网等市级媒体报道“创森”和林业生态建设活动。二是加大社会宣传力度，提高创森覆盖面，在城区重要道路设置大型户外广告牌、宣传牌，在沿街部门单位显著位置悬挂创森标语，在学校、医院、居民小区设立创森宣传栏，联合团市委组织自愿服务者进行街头宣传。三是举办各种公益活动，开展以“森林邹城·绿色家园”为主题的书法、美术、摄影、文学作品征集活动；四是组织开展多种形式的义务植树活动，让更多的群众参与到“爱绿、护绿、植绿”的创森活动中。五是联合市教育局在全市中小学校开展“小手拉大手，共创森林城市”活动，在全市中小学生中开展有奖征文、创森摄影赛、创森知识竞赛等多种活动，进一步加强对全市青少年儿童生态文明和绿色发展的宣传教育。截至2018年，邹城市市民对创建国家森林城市的满意度达95.45%，支持率达96.67%。</w:t>
      </w:r>
    </w:p>
    <w:p>
      <w:pPr>
        <w:spacing w:line="300" w:lineRule="exact"/>
        <w:jc w:val="center"/>
        <w:rPr>
          <w:rFonts w:ascii="Times New Roman" w:hAnsi="Times New Roman" w:eastAsia="华文宋体" w:cs="Times New Roman"/>
          <w:sz w:val="24"/>
          <w:szCs w:val="24"/>
        </w:rPr>
      </w:pPr>
      <w:r>
        <w:rPr>
          <w:rFonts w:hint="eastAsia" w:ascii="Times New Roman" w:hAnsi="Times New Roman" w:eastAsia="华文宋体" w:cs="Times New Roman"/>
          <w:sz w:val="24"/>
          <w:szCs w:val="24"/>
        </w:rPr>
        <w:t xml:space="preserve">表4.6-1   </w:t>
      </w:r>
      <w:r>
        <w:rPr>
          <w:rFonts w:ascii="Times New Roman" w:hAnsi="Times New Roman" w:eastAsia="华文宋体" w:cs="Times New Roman"/>
          <w:sz w:val="24"/>
          <w:szCs w:val="24"/>
        </w:rPr>
        <w:t>邹城市公众支持率和满意度调查结果统计表</w:t>
      </w:r>
    </w:p>
    <w:p>
      <w:pPr>
        <w:spacing w:line="300" w:lineRule="exact"/>
        <w:jc w:val="right"/>
        <w:rPr>
          <w:rFonts w:ascii="Times New Roman" w:hAnsi="Times New Roman" w:eastAsia="华文宋体" w:cs="Times New Roman"/>
          <w:sz w:val="24"/>
          <w:szCs w:val="24"/>
        </w:rPr>
      </w:pPr>
      <w:r>
        <w:rPr>
          <w:rFonts w:ascii="Times New Roman" w:hAnsi="Times New Roman" w:eastAsia="宋体" w:cs="Times New Roman"/>
          <w:color w:val="000000" w:themeColor="text1"/>
          <w:sz w:val="24"/>
          <w:szCs w:val="28"/>
          <w14:textFill>
            <w14:solidFill>
              <w14:schemeClr w14:val="tx1"/>
            </w14:solidFill>
          </w14:textFill>
        </w:rPr>
        <w:t xml:space="preserve">                                                     </w:t>
      </w:r>
      <w:r>
        <w:rPr>
          <w:rFonts w:ascii="Times New Roman" w:hAnsi="Times New Roman" w:eastAsia="华文宋体" w:cs="Times New Roman"/>
          <w:sz w:val="24"/>
          <w:szCs w:val="24"/>
        </w:rPr>
        <w:t>单位：%</w:t>
      </w:r>
    </w:p>
    <w:tbl>
      <w:tblPr>
        <w:tblStyle w:val="15"/>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733"/>
        <w:gridCol w:w="1383"/>
        <w:gridCol w:w="2267"/>
        <w:gridCol w:w="1183"/>
        <w:gridCol w:w="12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blHeader/>
        </w:trPr>
        <w:tc>
          <w:tcPr>
            <w:tcW w:w="1278"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区</w:t>
            </w:r>
          </w:p>
        </w:tc>
        <w:tc>
          <w:tcPr>
            <w:tcW w:w="173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调查方式</w:t>
            </w:r>
          </w:p>
        </w:tc>
        <w:tc>
          <w:tcPr>
            <w:tcW w:w="13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调查时间</w:t>
            </w:r>
          </w:p>
        </w:tc>
        <w:tc>
          <w:tcPr>
            <w:tcW w:w="2267"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地点</w:t>
            </w:r>
          </w:p>
        </w:tc>
        <w:tc>
          <w:tcPr>
            <w:tcW w:w="11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满意度</w:t>
            </w:r>
          </w:p>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w:t>
            </w:r>
          </w:p>
        </w:tc>
        <w:tc>
          <w:tcPr>
            <w:tcW w:w="1216"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支持率（%）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blHeader/>
        </w:trPr>
        <w:tc>
          <w:tcPr>
            <w:tcW w:w="1278" w:type="dxa"/>
            <w:vMerge w:val="restart"/>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市区</w:t>
            </w:r>
          </w:p>
        </w:tc>
        <w:tc>
          <w:tcPr>
            <w:tcW w:w="173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走访、座谈</w:t>
            </w:r>
          </w:p>
        </w:tc>
        <w:tc>
          <w:tcPr>
            <w:tcW w:w="13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2018.3</w:t>
            </w:r>
          </w:p>
        </w:tc>
        <w:tc>
          <w:tcPr>
            <w:tcW w:w="2267" w:type="dxa"/>
            <w:vAlign w:val="center"/>
          </w:tcPr>
          <w:p>
            <w:pPr>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市区主要道路、村委、社区</w:t>
            </w:r>
          </w:p>
          <w:p>
            <w:pPr>
              <w:spacing w:line="360" w:lineRule="auto"/>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活动中心</w:t>
            </w:r>
          </w:p>
        </w:tc>
        <w:tc>
          <w:tcPr>
            <w:tcW w:w="11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96</w:t>
            </w:r>
          </w:p>
        </w:tc>
        <w:tc>
          <w:tcPr>
            <w:tcW w:w="1216"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96.2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blHeader/>
        </w:trPr>
        <w:tc>
          <w:tcPr>
            <w:tcW w:w="1278" w:type="dxa"/>
            <w:vMerge w:val="continue"/>
            <w:vAlign w:val="center"/>
          </w:tcPr>
          <w:p>
            <w:pPr>
              <w:spacing w:line="300" w:lineRule="exact"/>
              <w:jc w:val="center"/>
              <w:rPr>
                <w:rFonts w:ascii="Times New Roman" w:hAnsi="Times New Roman" w:eastAsia="华文宋体" w:cs="Times New Roman"/>
                <w:sz w:val="24"/>
                <w:szCs w:val="24"/>
              </w:rPr>
            </w:pPr>
          </w:p>
        </w:tc>
        <w:tc>
          <w:tcPr>
            <w:tcW w:w="173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调查问卷</w:t>
            </w:r>
          </w:p>
        </w:tc>
        <w:tc>
          <w:tcPr>
            <w:tcW w:w="13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2018.3</w:t>
            </w:r>
          </w:p>
        </w:tc>
        <w:tc>
          <w:tcPr>
            <w:tcW w:w="2267"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车站、公园、广场等公共场所</w:t>
            </w:r>
          </w:p>
        </w:tc>
        <w:tc>
          <w:tcPr>
            <w:tcW w:w="11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95</w:t>
            </w:r>
          </w:p>
        </w:tc>
        <w:tc>
          <w:tcPr>
            <w:tcW w:w="1216"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blHeader/>
        </w:trPr>
        <w:tc>
          <w:tcPr>
            <w:tcW w:w="1278"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镇（街）</w:t>
            </w:r>
          </w:p>
        </w:tc>
        <w:tc>
          <w:tcPr>
            <w:tcW w:w="173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走访、座谈</w:t>
            </w:r>
          </w:p>
        </w:tc>
        <w:tc>
          <w:tcPr>
            <w:tcW w:w="13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2018.4</w:t>
            </w:r>
          </w:p>
        </w:tc>
        <w:tc>
          <w:tcPr>
            <w:tcW w:w="2267"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管委会、街道办公园等</w:t>
            </w:r>
          </w:p>
        </w:tc>
        <w:tc>
          <w:tcPr>
            <w:tcW w:w="11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95.47</w:t>
            </w:r>
          </w:p>
        </w:tc>
        <w:tc>
          <w:tcPr>
            <w:tcW w:w="1216"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96.3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blHeader/>
        </w:trPr>
        <w:tc>
          <w:tcPr>
            <w:tcW w:w="1278"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开发区</w:t>
            </w:r>
          </w:p>
        </w:tc>
        <w:tc>
          <w:tcPr>
            <w:tcW w:w="173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随即电话、问卷调查</w:t>
            </w:r>
          </w:p>
        </w:tc>
        <w:tc>
          <w:tcPr>
            <w:tcW w:w="13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2018.4</w:t>
            </w:r>
          </w:p>
        </w:tc>
        <w:tc>
          <w:tcPr>
            <w:tcW w:w="2267"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各街道、社区和各机关、企业单位等</w:t>
            </w:r>
          </w:p>
        </w:tc>
        <w:tc>
          <w:tcPr>
            <w:tcW w:w="11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96.58</w:t>
            </w:r>
          </w:p>
        </w:tc>
        <w:tc>
          <w:tcPr>
            <w:tcW w:w="1216"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blHeader/>
        </w:trPr>
        <w:tc>
          <w:tcPr>
            <w:tcW w:w="1278"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全市</w:t>
            </w:r>
          </w:p>
        </w:tc>
        <w:tc>
          <w:tcPr>
            <w:tcW w:w="1733" w:type="dxa"/>
            <w:vAlign w:val="center"/>
          </w:tcPr>
          <w:p>
            <w:pPr>
              <w:spacing w:line="300" w:lineRule="exact"/>
              <w:jc w:val="center"/>
              <w:rPr>
                <w:rFonts w:ascii="Times New Roman" w:hAnsi="Times New Roman" w:eastAsia="华文宋体" w:cs="Times New Roman"/>
                <w:sz w:val="24"/>
                <w:szCs w:val="24"/>
              </w:rPr>
            </w:pPr>
          </w:p>
        </w:tc>
        <w:tc>
          <w:tcPr>
            <w:tcW w:w="1383" w:type="dxa"/>
            <w:vAlign w:val="center"/>
          </w:tcPr>
          <w:p>
            <w:pPr>
              <w:spacing w:line="300" w:lineRule="exact"/>
              <w:jc w:val="center"/>
              <w:rPr>
                <w:rFonts w:ascii="Times New Roman" w:hAnsi="Times New Roman" w:eastAsia="华文宋体" w:cs="Times New Roman"/>
                <w:sz w:val="24"/>
                <w:szCs w:val="24"/>
              </w:rPr>
            </w:pPr>
          </w:p>
        </w:tc>
        <w:tc>
          <w:tcPr>
            <w:tcW w:w="2267" w:type="dxa"/>
            <w:vAlign w:val="center"/>
          </w:tcPr>
          <w:p>
            <w:pPr>
              <w:spacing w:line="300" w:lineRule="exact"/>
              <w:jc w:val="center"/>
              <w:rPr>
                <w:rFonts w:ascii="Times New Roman" w:hAnsi="Times New Roman" w:eastAsia="华文宋体" w:cs="Times New Roman"/>
                <w:sz w:val="24"/>
                <w:szCs w:val="24"/>
              </w:rPr>
            </w:pPr>
          </w:p>
        </w:tc>
        <w:tc>
          <w:tcPr>
            <w:tcW w:w="1183"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95.45</w:t>
            </w:r>
          </w:p>
        </w:tc>
        <w:tc>
          <w:tcPr>
            <w:tcW w:w="1216" w:type="dxa"/>
            <w:vAlign w:val="center"/>
          </w:tcPr>
          <w:p>
            <w:pPr>
              <w:spacing w:line="300" w:lineRule="exact"/>
              <w:jc w:val="center"/>
              <w:rPr>
                <w:rFonts w:ascii="Times New Roman" w:hAnsi="Times New Roman" w:eastAsia="华文宋体" w:cs="Times New Roman"/>
                <w:sz w:val="24"/>
                <w:szCs w:val="24"/>
              </w:rPr>
            </w:pPr>
            <w:r>
              <w:rPr>
                <w:rFonts w:ascii="Times New Roman" w:hAnsi="Times New Roman" w:eastAsia="华文宋体" w:cs="Times New Roman"/>
                <w:sz w:val="24"/>
                <w:szCs w:val="24"/>
              </w:rPr>
              <w:t>96.67</w:t>
            </w:r>
          </w:p>
        </w:tc>
      </w:tr>
    </w:tbl>
    <w:p>
      <w:pPr>
        <w:pStyle w:val="5"/>
      </w:pPr>
      <w:r>
        <w:rPr>
          <w:rFonts w:hint="eastAsia"/>
        </w:rPr>
        <w:t xml:space="preserve">4.6.4 </w:t>
      </w:r>
      <w:r>
        <w:t>支撑材料</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山东省邹城市创建国家森林城市绿化成果专项调查报告</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邹城市创建国家森林城市支持率、满意度调查问卷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邹城市创森公众支持率和满意度调查结果统计表</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邹城市创建国家森林城市工作领导小组关于印发《邹城市创建国家森林城市宣传工作方案》的通知（邹创森发</w:t>
      </w:r>
      <w:r>
        <w:rPr>
          <w:rFonts w:hint="eastAsia" w:ascii="Times New Roman" w:hAnsi="Times New Roman" w:eastAsia="华文宋体" w:cs="Times New Roman"/>
          <w:sz w:val="28"/>
          <w:szCs w:val="28"/>
          <w:lang w:eastAsia="zh-CN"/>
        </w:rPr>
        <w:t>﹝2018﹞</w:t>
      </w:r>
      <w:r>
        <w:rPr>
          <w:rFonts w:hint="eastAsia" w:ascii="Times New Roman" w:hAnsi="Times New Roman" w:eastAsia="华文宋体" w:cs="Times New Roman"/>
          <w:sz w:val="28"/>
          <w:szCs w:val="28"/>
        </w:rPr>
        <w:t>1号）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邹城市创建国家森林城市工作领导小组关于印发《邹城市创建国家森林城市宣传工作方案》的通知（邹创森发</w:t>
      </w:r>
      <w:r>
        <w:rPr>
          <w:rFonts w:hint="eastAsia" w:ascii="Times New Roman" w:hAnsi="Times New Roman" w:eastAsia="华文宋体" w:cs="Times New Roman"/>
          <w:sz w:val="28"/>
          <w:szCs w:val="28"/>
          <w:lang w:eastAsia="zh-CN"/>
        </w:rPr>
        <w:t>﹝2017﹞</w:t>
      </w:r>
      <w:r>
        <w:rPr>
          <w:rFonts w:hint="eastAsia" w:ascii="Times New Roman" w:hAnsi="Times New Roman" w:eastAsia="华文宋体" w:cs="Times New Roman"/>
          <w:sz w:val="28"/>
          <w:szCs w:val="28"/>
        </w:rPr>
        <w:t>1号）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邹城市林业局关于征集创作“森林城市•绿色家园”全市优秀书法美术摄影文学作品的通知(邹林字</w:t>
      </w:r>
      <w:r>
        <w:rPr>
          <w:rFonts w:hint="eastAsia" w:ascii="Times New Roman" w:hAnsi="Times New Roman" w:eastAsia="华文宋体" w:cs="Times New Roman"/>
          <w:sz w:val="28"/>
          <w:szCs w:val="28"/>
          <w:lang w:eastAsia="zh-CN"/>
        </w:rPr>
        <w:t>﹝2016﹞</w:t>
      </w:r>
      <w:r>
        <w:rPr>
          <w:rFonts w:hint="eastAsia" w:ascii="Times New Roman" w:hAnsi="Times New Roman" w:eastAsia="华文宋体" w:cs="Times New Roman"/>
          <w:sz w:val="28"/>
          <w:szCs w:val="28"/>
        </w:rPr>
        <w:t>54号）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同识同心同为同力</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邹城开展湿地日宣传活动一览表</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邹城市林业局关于邹城市第四届大樱桃评选活动结果的通报（邹林字</w:t>
      </w:r>
      <w:r>
        <w:rPr>
          <w:rFonts w:hint="eastAsia" w:ascii="Times New Roman" w:hAnsi="Times New Roman" w:eastAsia="华文宋体" w:cs="Times New Roman"/>
          <w:sz w:val="28"/>
          <w:szCs w:val="28"/>
          <w:lang w:eastAsia="zh-CN"/>
        </w:rPr>
        <w:t>﹝2017﹞</w:t>
      </w:r>
      <w:r>
        <w:rPr>
          <w:rFonts w:hint="eastAsia" w:ascii="Times New Roman" w:hAnsi="Times New Roman" w:eastAsia="华文宋体" w:cs="Times New Roman"/>
          <w:sz w:val="28"/>
          <w:szCs w:val="28"/>
        </w:rPr>
        <w:t>13号）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邹城市“小手拉大手</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邹城市环境保护委员会关于做好2017年“六•五”环境日系列宣传活动的通知（邹环委字</w:t>
      </w:r>
      <w:r>
        <w:rPr>
          <w:rFonts w:hint="eastAsia" w:ascii="Times New Roman" w:hAnsi="Times New Roman" w:eastAsia="华文宋体" w:cs="Times New Roman"/>
          <w:sz w:val="28"/>
          <w:szCs w:val="28"/>
          <w:lang w:eastAsia="zh-CN"/>
        </w:rPr>
        <w:t>﹝2017﹞</w:t>
      </w:r>
      <w:r>
        <w:rPr>
          <w:rFonts w:hint="eastAsia" w:ascii="Times New Roman" w:hAnsi="Times New Roman" w:eastAsia="华文宋体" w:cs="Times New Roman"/>
          <w:sz w:val="28"/>
          <w:szCs w:val="28"/>
        </w:rPr>
        <w:t>5号）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邹城市环境保护委员会关于印发2016年“六•五”环境日宣传活动实施方案的通知（邹环委字</w:t>
      </w:r>
      <w:r>
        <w:rPr>
          <w:rFonts w:hint="eastAsia" w:ascii="Times New Roman" w:hAnsi="Times New Roman" w:eastAsia="华文宋体" w:cs="Times New Roman"/>
          <w:sz w:val="28"/>
          <w:szCs w:val="28"/>
          <w:lang w:eastAsia="zh-CN"/>
        </w:rPr>
        <w:t>﹝2016﹞</w:t>
      </w:r>
      <w:r>
        <w:rPr>
          <w:rFonts w:hint="eastAsia" w:ascii="Times New Roman" w:hAnsi="Times New Roman" w:eastAsia="华文宋体" w:cs="Times New Roman"/>
          <w:sz w:val="28"/>
          <w:szCs w:val="28"/>
        </w:rPr>
        <w:t>3号）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邹城市环境保护委员会关于印发2015年“六•五”环境日宣传活动实施方案的通知（邹环委字</w:t>
      </w:r>
      <w:r>
        <w:rPr>
          <w:rFonts w:hint="eastAsia" w:ascii="Times New Roman" w:hAnsi="Times New Roman" w:eastAsia="华文宋体" w:cs="Times New Roman"/>
          <w:sz w:val="28"/>
          <w:szCs w:val="28"/>
          <w:lang w:eastAsia="zh-CN"/>
        </w:rPr>
        <w:t>﹝2015﹞</w:t>
      </w:r>
      <w:r>
        <w:rPr>
          <w:rFonts w:hint="eastAsia" w:ascii="Times New Roman" w:hAnsi="Times New Roman" w:eastAsia="华文宋体" w:cs="Times New Roman"/>
          <w:sz w:val="28"/>
          <w:szCs w:val="28"/>
        </w:rPr>
        <w:t>5号）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邹城市国土资源局关于开展27个全国”土地日“主题宣传活动的通知（邹国土资发</w:t>
      </w:r>
      <w:r>
        <w:rPr>
          <w:rFonts w:hint="eastAsia" w:ascii="Times New Roman" w:hAnsi="Times New Roman" w:eastAsia="华文宋体" w:cs="Times New Roman"/>
          <w:sz w:val="28"/>
          <w:szCs w:val="28"/>
          <w:lang w:eastAsia="zh-CN"/>
        </w:rPr>
        <w:t>﹝2017﹞</w:t>
      </w:r>
      <w:r>
        <w:rPr>
          <w:rFonts w:hint="eastAsia" w:ascii="Times New Roman" w:hAnsi="Times New Roman" w:eastAsia="华文宋体" w:cs="Times New Roman"/>
          <w:sz w:val="28"/>
          <w:szCs w:val="28"/>
        </w:rPr>
        <w:t>29号）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济宁市国土资源局关于开展第26个全国“土地日“主题宣传活动的通知（济国土资发</w:t>
      </w:r>
      <w:r>
        <w:rPr>
          <w:rFonts w:hint="eastAsia" w:ascii="Times New Roman" w:hAnsi="Times New Roman" w:eastAsia="华文宋体" w:cs="Times New Roman"/>
          <w:sz w:val="28"/>
          <w:szCs w:val="28"/>
          <w:lang w:eastAsia="zh-CN"/>
        </w:rPr>
        <w:t>﹝2016﹞</w:t>
      </w:r>
      <w:r>
        <w:rPr>
          <w:rFonts w:hint="eastAsia" w:ascii="Times New Roman" w:hAnsi="Times New Roman" w:eastAsia="华文宋体" w:cs="Times New Roman"/>
          <w:sz w:val="28"/>
          <w:szCs w:val="28"/>
        </w:rPr>
        <w:t>30号）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济宁市国土资源局关于开展第25个全国“土地日”主题宣传周活动的通知</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创建国家森林城市邹城市“市树市花”评选</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邹城市林业局关于推荐生态文化科普校园和生态文化科普教育基地的报告(邹林呈字</w:t>
      </w:r>
      <w:r>
        <w:rPr>
          <w:rFonts w:hint="eastAsia" w:ascii="Times New Roman" w:hAnsi="Times New Roman" w:eastAsia="华文宋体" w:cs="Times New Roman"/>
          <w:sz w:val="28"/>
          <w:szCs w:val="28"/>
          <w:lang w:eastAsia="zh-CN"/>
        </w:rPr>
        <w:t>﹝2016﹞</w:t>
      </w:r>
      <w:r>
        <w:rPr>
          <w:rFonts w:hint="eastAsia" w:ascii="Times New Roman" w:hAnsi="Times New Roman" w:eastAsia="华文宋体" w:cs="Times New Roman"/>
          <w:sz w:val="28"/>
          <w:szCs w:val="28"/>
        </w:rPr>
        <w:t>38号）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邹城市绿化委员会关于印发《关于开展“市树、市花”评选活动的公告》的通知（邹绿发</w:t>
      </w:r>
      <w:r>
        <w:rPr>
          <w:rFonts w:hint="eastAsia" w:ascii="Times New Roman" w:hAnsi="Times New Roman" w:eastAsia="华文宋体" w:cs="Times New Roman"/>
          <w:sz w:val="28"/>
          <w:szCs w:val="28"/>
          <w:lang w:eastAsia="zh-CN"/>
        </w:rPr>
        <w:t>﹝2016﹞</w:t>
      </w:r>
      <w:r>
        <w:rPr>
          <w:rFonts w:hint="eastAsia" w:ascii="Times New Roman" w:hAnsi="Times New Roman" w:eastAsia="华文宋体" w:cs="Times New Roman"/>
          <w:sz w:val="28"/>
          <w:szCs w:val="28"/>
        </w:rPr>
        <w:t>23号）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2017年中心草莓采摘节宣传</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2017年大束镇葛炉山桃花节开幕式</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2017年梨花诗会暨香城镇乡村记忆工程启动仪式</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邹城市少工委关于转发《关于在寒假、春节期间开展”小手拉大手</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隆重举办2017“邹东深呼吸”一城前镇第三届蓝陵桃花会</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2017“峄山丹参茶杯“公园首届梨花节</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共青团济宁市委2016年关于在全市青少年中开展“绿色长征”公益健走活动的通知</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邹城市绿化委员会关于开展“森林邹城一一我的家”主题征文、摄影、书法比赛的通知（邹绿发</w:t>
      </w:r>
      <w:r>
        <w:rPr>
          <w:rFonts w:hint="eastAsia" w:ascii="Times New Roman" w:hAnsi="Times New Roman" w:eastAsia="华文宋体" w:cs="Times New Roman"/>
          <w:sz w:val="28"/>
          <w:szCs w:val="28"/>
          <w:lang w:eastAsia="zh-CN"/>
        </w:rPr>
        <w:t>﹝2016﹞</w:t>
      </w:r>
      <w:r>
        <w:rPr>
          <w:rFonts w:hint="eastAsia" w:ascii="Times New Roman" w:hAnsi="Times New Roman" w:eastAsia="华文宋体" w:cs="Times New Roman"/>
          <w:sz w:val="28"/>
          <w:szCs w:val="28"/>
        </w:rPr>
        <w:t>22号）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济宁市国土资源局关于贯彻鲁国土资字</w:t>
      </w:r>
      <w:r>
        <w:rPr>
          <w:rFonts w:hint="eastAsia" w:ascii="Times New Roman" w:hAnsi="Times New Roman" w:eastAsia="华文宋体" w:cs="Times New Roman"/>
          <w:sz w:val="28"/>
          <w:szCs w:val="28"/>
          <w:lang w:eastAsia="zh-CN"/>
        </w:rPr>
        <w:t>﹝2016﹞</w:t>
      </w:r>
      <w:r>
        <w:rPr>
          <w:rFonts w:hint="eastAsia" w:ascii="Times New Roman" w:hAnsi="Times New Roman" w:eastAsia="华文宋体" w:cs="Times New Roman"/>
          <w:sz w:val="28"/>
          <w:szCs w:val="28"/>
        </w:rPr>
        <w:t>81号文件开展第47个世界地球日主题宣传活动周的通知（济国土资发</w:t>
      </w:r>
      <w:r>
        <w:rPr>
          <w:rFonts w:hint="eastAsia" w:ascii="Times New Roman" w:hAnsi="Times New Roman" w:eastAsia="华文宋体" w:cs="Times New Roman"/>
          <w:sz w:val="28"/>
          <w:szCs w:val="28"/>
          <w:lang w:eastAsia="zh-CN"/>
        </w:rPr>
        <w:t>﹝2016﹞</w:t>
      </w:r>
      <w:r>
        <w:rPr>
          <w:rFonts w:hint="eastAsia" w:ascii="Times New Roman" w:hAnsi="Times New Roman" w:eastAsia="华文宋体" w:cs="Times New Roman"/>
          <w:sz w:val="28"/>
          <w:szCs w:val="28"/>
        </w:rPr>
        <w:t>16号）</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共青团山东省委农村青年工作部关于转发全国保护母亲河领导小组《关于报送“寻找身边的绿色卫士”和“绿色团队”争创活动开展情况动态表的通知》的通知</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共青团邹城市委关于响应团省委“山东青年碳汇林微公益行动”的通知</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共青团济宁市委关于在全市青少年中开展“绿色长征”公益健走活动的通知</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2018年创建国家森林城市宣传手册</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倡导绿色生活保护共同家园宣传彩页</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绿色长征公益健走活动图示</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邹城市创建国家森林城市书画摄影展及图片</w:t>
      </w:r>
    </w:p>
    <w:p>
      <w:pPr>
        <w:pStyle w:val="19"/>
        <w:numPr>
          <w:ilvl w:val="0"/>
          <w:numId w:val="33"/>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森林邹城报纸</w:t>
      </w:r>
    </w:p>
    <w:p>
      <w:pPr>
        <w:pStyle w:val="19"/>
        <w:numPr>
          <w:ilvl w:val="0"/>
          <w:numId w:val="33"/>
        </w:numPr>
        <w:spacing w:line="360" w:lineRule="auto"/>
        <w:ind w:firstLine="560"/>
        <w:rPr>
          <w:rFonts w:ascii="Times New Roman" w:hAnsi="Times New Roman" w:eastAsia="华文宋体" w:cs="Times New Roman"/>
          <w:color w:val="FF0000"/>
          <w:sz w:val="28"/>
          <w:szCs w:val="28"/>
        </w:rPr>
      </w:pPr>
      <w:r>
        <w:rPr>
          <w:rFonts w:hint="eastAsia" w:ascii="Times New Roman" w:hAnsi="Times New Roman" w:eastAsia="华文宋体" w:cs="Times New Roman"/>
          <w:color w:val="FF0000"/>
          <w:sz w:val="28"/>
          <w:szCs w:val="28"/>
        </w:rPr>
        <w:t>照片五、城市森林管理</w:t>
      </w:r>
    </w:p>
    <w:p>
      <w:pPr>
        <w:pStyle w:val="3"/>
      </w:pPr>
      <w:bookmarkStart w:id="45" w:name="_Toc519373572"/>
      <w:r>
        <w:rPr>
          <w:rFonts w:hint="eastAsia"/>
        </w:rPr>
        <w:t>5 城市森林管理</w:t>
      </w:r>
      <w:bookmarkEnd w:id="45"/>
    </w:p>
    <w:p>
      <w:pPr>
        <w:pStyle w:val="4"/>
      </w:pPr>
      <w:bookmarkStart w:id="46" w:name="_Toc519373573"/>
      <w:r>
        <w:rPr>
          <w:rFonts w:hint="eastAsia"/>
        </w:rPr>
        <w:t xml:space="preserve">5.1 </w:t>
      </w:r>
      <w:r>
        <w:t>组织领导</w:t>
      </w:r>
      <w:bookmarkEnd w:id="46"/>
    </w:p>
    <w:p>
      <w:pPr>
        <w:pStyle w:val="5"/>
      </w:pPr>
      <w:r>
        <w:rPr>
          <w:rFonts w:hint="eastAsia"/>
        </w:rPr>
        <w:t xml:space="preserve">5.1.1 </w:t>
      </w:r>
      <w:r>
        <w:t>指标要求</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sz w:val="28"/>
          <w:szCs w:val="28"/>
        </w:rPr>
        <w:t>党委政府高度重视，按照国家林业局正式批复同意开展创建活动 2 年以上，创建工作指导思想明确，组织机构健全，政</w:t>
      </w:r>
      <w:r>
        <w:rPr>
          <w:rFonts w:ascii="Times New Roman" w:hAnsi="Times New Roman" w:eastAsia="华文宋体" w:cs="Times New Roman"/>
          <w:color w:val="000000" w:themeColor="text1"/>
          <w:sz w:val="28"/>
          <w:szCs w:val="28"/>
          <w14:textFill>
            <w14:solidFill>
              <w14:schemeClr w14:val="tx1"/>
            </w14:solidFill>
          </w14:textFill>
        </w:rPr>
        <w:t>策措施有力，成效明显。</w:t>
      </w:r>
    </w:p>
    <w:p>
      <w:pPr>
        <w:pStyle w:val="5"/>
      </w:pPr>
      <w:r>
        <w:rPr>
          <w:rFonts w:hint="eastAsia"/>
        </w:rPr>
        <w:t xml:space="preserve">5.1.2 </w:t>
      </w:r>
      <w:r>
        <w:t>方法步骤</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查阅收集相关文件资料。</w:t>
      </w:r>
    </w:p>
    <w:p>
      <w:pPr>
        <w:pStyle w:val="5"/>
      </w:pPr>
      <w:r>
        <w:rPr>
          <w:rFonts w:hint="eastAsia"/>
        </w:rPr>
        <w:t xml:space="preserve">5.1.3 </w:t>
      </w:r>
      <w:r>
        <w:t>自查结果</w:t>
      </w:r>
      <w:r>
        <w:tab/>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达标。自创建森林城市以来，邹城市政府印发了《中共邹城市委邹城市人民政府关于创建国家森林城市加快生态美丽邹城建设的意见》，成立了以市长为组长的创建国家森林城市领导小组，建立了“一把手抓创建”的领导机制。2016年7月邹城市人民政府批复了《邹城市国家森林城市建设总体规划》，确立了“三区、一核、六带、十线、多园”的空间布局。市委、市政府多次召开专题会议，就创森宣传、重点项目建设等工作进行研究督办，市人大、政协分别对全市的创森工作进行视察和专题调研。邹城市委、市政府抽调林业、城建、交通、水利、农业、旅游、园林等部门有关人员组建了创建国家森林城市领导小组办公室，具体推动创森规划重点工作。连续三年组织召开了由市四大班子及市直部门单位主要领导参加的全市创建国家森林城市动员会、推进会，印发了《邹城市创建国家森林城市工作目标任务责任清单》等文件，将创建任务层层分解,明确创建责任，落实考核奖惩，确保创森工作组织有序、保障有力。</w:t>
      </w:r>
    </w:p>
    <w:p>
      <w:pPr>
        <w:pStyle w:val="5"/>
      </w:pPr>
      <w:r>
        <w:rPr>
          <w:rFonts w:hint="eastAsia"/>
        </w:rPr>
        <w:t xml:space="preserve">5.1.4 </w:t>
      </w:r>
      <w:r>
        <w:t>支撑材料</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国家林业局宣传办公室关于对邹城市创建国家森林城市备案的复函（宣管字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11号）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邹城市人民政府关于同意邹城市国家森林城市建设总体规划的批复（邹政字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37号）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邹城市人民政府关于2018年林业改革发展工作的意见（邹政发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﹝2018﹞</w:t>
      </w:r>
      <w:r>
        <w:rPr>
          <w:rFonts w:hint="eastAsia" w:ascii="Times New Roman" w:hAnsi="Times New Roman" w:eastAsia="华文宋体" w:cs="Times New Roman"/>
          <w:color w:val="000000" w:themeColor="text1"/>
          <w:sz w:val="28"/>
          <w:szCs w:val="28"/>
          <w14:textFill>
            <w14:solidFill>
              <w14:schemeClr w14:val="tx1"/>
            </w14:solidFill>
          </w14:textFill>
        </w:rPr>
        <w:t>4号）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邹城市人民政府关于2017年林业改革发展工作的意见（邹政发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3号）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邹城市人民政府关于2016年林业改革发展工作的意见（邹政发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3号）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中共济宁市委济宁市人民政府关于建设国家森林城市的实施意见（济发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35号）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济宁市人民政府关于2017年全市林业改革发展工作的意见（济政字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9号）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中共济宁市委济宁市人民政府关于建设国家森林城市的实施意见（济发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35号）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邹城市林业局关于公布创建国家森林城市工作领导小组办公室人员组成及任务分工的通知（邹林字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6号）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邹城市创建国家森林城市工作领导小组关于创建国家森林城市工作进展情况的通报（邹创森发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﹝2018﹞</w:t>
      </w:r>
      <w:r>
        <w:rPr>
          <w:rFonts w:hint="eastAsia" w:ascii="Times New Roman" w:hAnsi="Times New Roman" w:eastAsia="华文宋体" w:cs="Times New Roman"/>
          <w:color w:val="000000" w:themeColor="text1"/>
          <w:sz w:val="28"/>
          <w:szCs w:val="28"/>
          <w14:textFill>
            <w14:solidFill>
              <w14:schemeClr w14:val="tx1"/>
            </w14:solidFill>
          </w14:textFill>
        </w:rPr>
        <w:t>4号）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济宁市林业局关于印发《济宁市林业“十三五”发展规划》的通知（济林字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52号）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邹城市创建国家森林城市工作领导小组关于印发2018年邹城市创建国家森林城市工作实施方案的通知（邹创森发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﹝2018﹞</w:t>
      </w:r>
      <w:r>
        <w:rPr>
          <w:rFonts w:hint="eastAsia" w:ascii="Times New Roman" w:hAnsi="Times New Roman" w:eastAsia="华文宋体" w:cs="Times New Roman"/>
          <w:color w:val="000000" w:themeColor="text1"/>
          <w:sz w:val="28"/>
          <w:szCs w:val="28"/>
          <w14:textFill>
            <w14:solidFill>
              <w14:schemeClr w14:val="tx1"/>
            </w14:solidFill>
          </w14:textFill>
        </w:rPr>
        <w:t>3号）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中共邹城市委邹城市人民政府关于创建国家森林城市加快生态美丽邹城建设的意见（邹发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5号）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全市创建国家森林城市暨春季造林绿化工作动员会议方案</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创建国家森林城市工作情况汇报</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邹城市创建国家森林城市工作领导小组关于印发《邹城市创建国家森林城市宣传工作方案》的通知（邹创森发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﹝2018﹞</w:t>
      </w:r>
      <w:r>
        <w:rPr>
          <w:rFonts w:hint="eastAsia" w:ascii="Times New Roman" w:hAnsi="Times New Roman" w:eastAsia="华文宋体" w:cs="Times New Roman"/>
          <w:color w:val="000000" w:themeColor="text1"/>
          <w:sz w:val="28"/>
          <w:szCs w:val="28"/>
          <w14:textFill>
            <w14:solidFill>
              <w14:schemeClr w14:val="tx1"/>
            </w14:solidFill>
          </w14:textFill>
        </w:rPr>
        <w:t>1号）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邹城市市委市政府督查室关于对全市创森工作开展情况进行专项督查的通知（邹督字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﹝2018﹞</w:t>
      </w:r>
      <w:r>
        <w:rPr>
          <w:rFonts w:hint="eastAsia" w:ascii="Times New Roman" w:hAnsi="Times New Roman" w:eastAsia="华文宋体" w:cs="Times New Roman"/>
          <w:color w:val="000000" w:themeColor="text1"/>
          <w:sz w:val="28"/>
          <w:szCs w:val="28"/>
          <w14:textFill>
            <w14:solidFill>
              <w14:schemeClr w14:val="tx1"/>
            </w14:solidFill>
          </w14:textFill>
        </w:rPr>
        <w:t>13号）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邹城市林业局关于创建国家森林城市和迎接太平国家湿地公园验收工作有关情况的汇报</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济宁市林业局关于全市建设国家森林城市暨春季造林绿化现场推进会议评比情况的说明</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中共邹城市委邹城市人民政府关于调整市绿化委员会成员的通知（邹委</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45号）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邹城市林业局关于成立2017年林业重点工作督导包保组的通知（邹林字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5号）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邹城市绿化委员会关于成立2016年林业重点工作督导包保组的通知（邹绿发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邹城市绿化委员会关于加快推进林业重点工作的通知（邹绿发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11号）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中共邹城市委邹城市人民政府关于2016年全市科学发展目标管理绩效考核工作的意见（邹发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14号）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邹城市创建国家森林城市工作领导小组关于调整邹城市创建国家森林城市工作领导小组的通知（邹创森发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2号）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邹城市督查考核委员会关于全市2016年度综合考核情况的通报（邹考发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1号)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邹城市创城指挥部简报第29期</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邹城市人民政府关于召开全市创建国家森林城市工作推进会议的通知</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全省退耕还林建设现场会议</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邹城市林业局关于市树市花评选和国有林场改革的情况汇报</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人大信息第4期-市人大常委会视察国家森林城市创建工作</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邹城市第十八届人民政府常务会议纪要（第5次）</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邹城市第十八届人民政府常务会议纪要(第9次）</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邹城市现代农业发展指挥部关于研究推进峄山镇牙山路工程建设的专题会议纪要（第4号）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邹城市现代农业发展指挥部关于研究推进荒山绿化示范工程建设的专题会议纪要（第3号）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邹城市现代农业发展指挥部关于研究推进香城镇泉山流域造林绿化等工程建设工作的专题会议纪要（第5号）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市人大视察国家森林城市创建工作安排表</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邹城市林业局关于开展冬季林业行业安全生产“大快严”百日集中整治行动的实施方案（邹林字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53号）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邹城市林业局关于印发《关于加快推进生态文明建设的实施方案》的通知（邹林字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28号）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邹城市创建国家森林城市工作领导小组关于印发《邹城市创建国家森林城市档案管理工作实施方案》的通知（邹创森发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﹝2018﹞</w:t>
      </w:r>
      <w:r>
        <w:rPr>
          <w:rFonts w:hint="eastAsia" w:ascii="Times New Roman" w:hAnsi="Times New Roman" w:eastAsia="华文宋体" w:cs="Times New Roman"/>
          <w:color w:val="000000" w:themeColor="text1"/>
          <w:sz w:val="28"/>
          <w:szCs w:val="28"/>
          <w14:textFill>
            <w14:solidFill>
              <w14:schemeClr w14:val="tx1"/>
            </w14:solidFill>
          </w14:textFill>
        </w:rPr>
        <w:t>2号）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邹城市人民政府办公室关于印发邹城市煤矿、码头、堆场等重点区域绿化抑尘行动实施方案的通知（邹政办字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3号）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邹城市人民政府关于印发邹城市创建省级农业高新技术产业开发区实施方案的通知（邹政字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180号）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邹城市绿化委员会办公室关于掀起雨季造林高潮的通知（邹绿办发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3号）</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邹城市林业局关于重新启用森林防火重点镇森林消防专用车辆的请示</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邹城市林业局放管服材料汇编</w:t>
      </w:r>
    </w:p>
    <w:p>
      <w:pPr>
        <w:pStyle w:val="19"/>
        <w:numPr>
          <w:ilvl w:val="0"/>
          <w:numId w:val="34"/>
        </w:numPr>
        <w:spacing w:line="360" w:lineRule="auto"/>
        <w:ind w:firstLine="56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照片</w:t>
      </w:r>
    </w:p>
    <w:p>
      <w:pPr>
        <w:pStyle w:val="4"/>
      </w:pPr>
      <w:bookmarkStart w:id="47" w:name="_Toc519373574"/>
      <w:r>
        <w:rPr>
          <w:rFonts w:hint="eastAsia"/>
        </w:rPr>
        <w:t xml:space="preserve">5.2 </w:t>
      </w:r>
      <w:r>
        <w:t>保障制度</w:t>
      </w:r>
      <w:bookmarkEnd w:id="47"/>
    </w:p>
    <w:p>
      <w:pPr>
        <w:pStyle w:val="5"/>
      </w:pPr>
      <w:r>
        <w:rPr>
          <w:rFonts w:hint="eastAsia"/>
          <w:color w:val="000000" w:themeColor="text1"/>
          <w14:textFill>
            <w14:solidFill>
              <w14:schemeClr w14:val="tx1"/>
            </w14:solidFill>
          </w14:textFill>
        </w:rPr>
        <w:t xml:space="preserve">5.2.1 </w:t>
      </w:r>
      <w:r>
        <w:t>指标要求</w:t>
      </w:r>
    </w:p>
    <w:p>
      <w:pPr>
        <w:pStyle w:val="19"/>
        <w:spacing w:line="360" w:lineRule="auto"/>
        <w:ind w:firstLine="566" w:firstLineChars="0"/>
        <w:rPr>
          <w:rFonts w:ascii="Times New Roman" w:hAnsi="Times New Roman" w:eastAsia="华文宋体" w:cs="Times New Roman"/>
          <w:color w:val="000000" w:themeColor="text1"/>
          <w:kern w:val="0"/>
          <w:sz w:val="28"/>
          <w:szCs w:val="28"/>
          <w14:textFill>
            <w14:solidFill>
              <w14:schemeClr w14:val="tx1"/>
            </w14:solidFill>
          </w14:textFill>
        </w:rPr>
      </w:pPr>
      <w:r>
        <w:rPr>
          <w:rFonts w:ascii="Times New Roman" w:hAnsi="Times New Roman" w:eastAsia="华文宋体" w:cs="Times New Roman"/>
          <w:color w:val="000000" w:themeColor="text1"/>
          <w:kern w:val="0"/>
          <w:sz w:val="28"/>
          <w:szCs w:val="28"/>
          <w14:textFill>
            <w14:solidFill>
              <w14:schemeClr w14:val="tx1"/>
            </w14:solidFill>
          </w14:textFill>
        </w:rPr>
        <w:t>国家和地方有关林业、绿化的方针、政策、法律、法规得到有效贯彻执行，相关法规和管理制度建设配套高效。</w:t>
      </w:r>
    </w:p>
    <w:p>
      <w:pPr>
        <w:pStyle w:val="5"/>
      </w:pPr>
      <w:r>
        <w:rPr>
          <w:rFonts w:hint="eastAsia"/>
        </w:rPr>
        <w:t xml:space="preserve">5.2.2 </w:t>
      </w:r>
      <w:r>
        <w:t>方法步骤</w:t>
      </w:r>
    </w:p>
    <w:p>
      <w:pPr>
        <w:pStyle w:val="19"/>
        <w:spacing w:line="360" w:lineRule="auto"/>
        <w:ind w:firstLine="560"/>
        <w:jc w:val="left"/>
        <w:rPr>
          <w:rFonts w:ascii="Times New Roman" w:hAnsi="Times New Roman" w:eastAsia="华文宋体" w:cs="Times New Roman"/>
          <w:color w:val="000000" w:themeColor="text1"/>
          <w:kern w:val="0"/>
          <w:sz w:val="28"/>
          <w:szCs w:val="28"/>
          <w14:textFill>
            <w14:solidFill>
              <w14:schemeClr w14:val="tx1"/>
            </w14:solidFill>
          </w14:textFill>
        </w:rPr>
      </w:pPr>
      <w:r>
        <w:rPr>
          <w:rFonts w:ascii="Times New Roman" w:hAnsi="Times New Roman" w:eastAsia="华文宋体" w:cs="Times New Roman"/>
          <w:color w:val="000000" w:themeColor="text1"/>
          <w:kern w:val="0"/>
          <w:sz w:val="28"/>
          <w:szCs w:val="28"/>
          <w14:textFill>
            <w14:solidFill>
              <w14:schemeClr w14:val="tx1"/>
            </w14:solidFill>
          </w14:textFill>
        </w:rPr>
        <w:t>查阅和收集相关文件资料。</w:t>
      </w:r>
    </w:p>
    <w:p>
      <w:pPr>
        <w:pStyle w:val="5"/>
      </w:pPr>
      <w:r>
        <w:rPr>
          <w:rFonts w:hint="eastAsia"/>
        </w:rPr>
        <w:t xml:space="preserve">5.2.3 </w:t>
      </w:r>
      <w:r>
        <w:t>自查结果</w:t>
      </w:r>
    </w:p>
    <w:p>
      <w:pPr>
        <w:spacing w:line="360" w:lineRule="auto"/>
        <w:ind w:firstLine="560" w:firstLineChars="200"/>
        <w:rPr>
          <w:rFonts w:ascii="Times New Roman" w:hAnsi="Times New Roman" w:eastAsia="华文宋体" w:cs="Times New Roman"/>
          <w:color w:val="000000" w:themeColor="text1"/>
          <w:sz w:val="28"/>
          <w:szCs w:val="28"/>
          <w14:textFill>
            <w14:solidFill>
              <w14:schemeClr w14:val="tx1"/>
            </w14:solidFill>
          </w14:textFill>
        </w:rPr>
      </w:pPr>
      <w:r>
        <w:rPr>
          <w:rFonts w:ascii="Times New Roman" w:hAnsi="Times New Roman" w:eastAsia="华文宋体" w:cs="Times New Roman"/>
          <w:color w:val="000000" w:themeColor="text1"/>
          <w:sz w:val="28"/>
          <w:szCs w:val="28"/>
          <w14:textFill>
            <w14:solidFill>
              <w14:schemeClr w14:val="tx1"/>
            </w14:solidFill>
          </w14:textFill>
        </w:rPr>
        <w:t>达标。为全面落实邹城市创建国家森林城市的目标，切实加强对全市造林绿化及林业重点工作的督促检查和技术指导。邹城市林业局自2016开始连续</w:t>
      </w:r>
      <w:r>
        <w:rPr>
          <w:rFonts w:ascii="Times New Roman" w:hAnsi="Times New Roman" w:eastAsia="华文宋体" w:cs="Times New Roman"/>
          <w:sz w:val="28"/>
          <w:szCs w:val="28"/>
        </w:rPr>
        <w:t>三</w:t>
      </w:r>
      <w:r>
        <w:rPr>
          <w:rFonts w:ascii="Times New Roman" w:hAnsi="Times New Roman" w:eastAsia="华文宋体" w:cs="Times New Roman"/>
          <w:color w:val="000000" w:themeColor="text1"/>
          <w:sz w:val="28"/>
          <w:szCs w:val="28"/>
          <w14:textFill>
            <w14:solidFill>
              <w14:schemeClr w14:val="tx1"/>
            </w14:solidFill>
          </w14:textFill>
        </w:rPr>
        <w:t>年成立了由科级干部带队的林业重点督导包保组，重点督导全国森林城市创建等重点项目和造林绿化、森林防护、林地保护、林业安全生产等重点工作。邹城市政府把国家森林城市创建工作纳入城市发展和经济社会发展规划，加强各个部门的对接联系，实行严厉奖惩问责，将国家森林城市建设工作纳入邹城市科学发展综合考核体系。同时，邹城市政府组织编写了创建国家森林城市目标年度责任书，为造林绿化、环境保护、生态建设提供了强有力的制度保障，确保了森林城市建设的有序推进。</w:t>
      </w:r>
    </w:p>
    <w:p>
      <w:pPr>
        <w:pStyle w:val="5"/>
      </w:pPr>
      <w:r>
        <w:rPr>
          <w:rFonts w:hint="eastAsia"/>
        </w:rPr>
        <w:t xml:space="preserve">5.2.4 </w:t>
      </w:r>
      <w:r>
        <w:t>支撑材料</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邹城市湿地保护管理办法</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邹城市人民政府关于印发《邹城市全民义务植树管理办法》的通知（邹政发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7号）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山东邹城太平国家湿地公园保护管理办法（试行）</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邹城市林业局关于印发《邹城市林业局行政执法重大事项法制审核制度》的通知（邹林字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42号）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邹城市林业局关于印发《邹城市林业局行政执法信息公示制度》的通知（邹林字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40号）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邹城市林业局关于印发《邹城市林业局行政执法全过程记录制度》的通知（邹林字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41号）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林业常年法律顾问合同</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关于印发《邹城市林业局全面推行行政执法公示制度执法全过程记录制度重大执法决定法制审核制度工作方案》的通知</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古树名木养护管理规定</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邹城市林业局关于成立2017年林业重点工作督导包保组的通知（邹林字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5号）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邹城市绿化委员会关于成立2016年林业重点工作督导包保组的通知（邹绿发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1号）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邹城市人民政府2017年林业有害生物防控责任书</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邹城市人民政府2016林业有害生物防控责任书</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邹城市人民政府2015年度林业有害生物防控责任书</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邹城市人民政府森林防火责任状(2017一2018年度)郭里镇</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邹城市人民政府森林防火责任状(2017一2018年度)看庄镇</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邹城市人民政府森林防火责任状(2017一2018年度)石墙镇</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邹城市人民政府森林防火责任状(2016—2017年度)看庄镇</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邹城市人民政府森林防火责任状(2017一2018年度)香城镇</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邹城市人民政府森林防火责任状（2016—2017年度)田黄镇</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邹城市人民政府森林防火责任状(2016—2017年度)中心店镇</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邹城市人民政府森林防火责任状(2015一2016年度)钢山街道</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邹城市人民政府森林防火责任状(2015一2016年度)郭城镇</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邹城市人民政府森林防火责任状(2015一2016年度)石墙镇</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邹城市人民政府森林防火责任状(2015一2016年度)田黄镇</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邹城市林业局关于开展森林防火等林业重点工作专项督查的通知（邹林字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3号）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邹城市绿化委员会关于对全市春季造林绿化现场观摩情况的通报</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济宁市绿化委员会关于2016年春季造林绿化工作进展情况的通报（济绿办发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5号）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邹城市绿化委员会关于2016年全市春季林业重点工作督导情况的通报（邹绿发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11号）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邹城市绿化委员会关于2016年全市春季造林绿化观摩评比结果的通报（邹绿发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14号）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邹城市林业局关于对春季造林绿化等林业重点工作开展专项督查的通知</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邹城市林业局关于对全市春季造林绿化和森林防火工作督查情况的通报（邹绿发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8号）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关于对全市森林防火、涉林安全生产及退耕还林工作督查情况的通报</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2016年镇街生态绿化工作考核情况</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邹城市督查考核委员会关于印发2016年度综合考核实施细则的通知（邹督考委发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13号）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邹城市督查考核委员会关于做好2016年度综合考核工作的通知（邹考发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12号）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邹城市绿化委员会关于开展2016年度造林实绩自查工作的通知（邹绿发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24号）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市委办公室市政府办公室关于实行荒山绿化包保责任制的通知（邹办发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﹝2012﹞</w:t>
      </w:r>
      <w:r>
        <w:rPr>
          <w:rFonts w:hint="eastAsia" w:ascii="Times New Roman" w:hAnsi="Times New Roman" w:eastAsia="华文宋体" w:cs="Times New Roman"/>
          <w:color w:val="000000" w:themeColor="text1"/>
          <w:sz w:val="28"/>
          <w:szCs w:val="28"/>
          <w14:textFill>
            <w14:solidFill>
              <w14:schemeClr w14:val="tx1"/>
            </w14:solidFill>
          </w14:textFill>
        </w:rPr>
        <w:t>7号）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关邹城市绿化委员会关于退耕还林项目区进行苗木补植的通知（邹绿发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2号）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邹城市绿化委员会关于对2017年林业重点工程督查的通知（邹绿发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12号）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邹城市绿化委员会关于对2017年度林业重点工程核查验收的通知（邹绿发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17号）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邹城市绿化委员会关于印发《2016年全市林业重点工作考核办法》的通知（邹绿发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5号）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邹城市绿化委员会关于印发《2015年全市林业重点工作考核办法》的通知（邹绿发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﹝2015﹞</w:t>
      </w:r>
      <w:r>
        <w:rPr>
          <w:rFonts w:hint="eastAsia" w:ascii="Times New Roman" w:hAnsi="Times New Roman" w:eastAsia="华文宋体" w:cs="Times New Roman"/>
          <w:color w:val="000000" w:themeColor="text1"/>
          <w:sz w:val="28"/>
          <w:szCs w:val="28"/>
          <w14:textFill>
            <w14:solidFill>
              <w14:schemeClr w14:val="tx1"/>
            </w14:solidFill>
          </w14:textFill>
        </w:rPr>
        <w:t>16号）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邹城市林业局关于印发2015年度全市林业重点工作考核情况通报的通知（济林字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邹城市绿化委员会关于开展骨干道路绿色通道死枯树木整治工作的紧急通知（邹绿发</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13号）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邹城市人民政府森林防火指挥部关于印发《邹城市处置重大森林火灾应急预案》的通知（邹森防指</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14号）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邹城市太平国家湿地公园管理处关于印发《邹城市太平国家湿地公园管理处（邹城市湿地保护管理中心）工作规则（试行）》的通知（邹湿字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﹝2018﹞</w:t>
      </w:r>
      <w:r>
        <w:rPr>
          <w:rFonts w:hint="eastAsia" w:ascii="Times New Roman" w:hAnsi="Times New Roman" w:eastAsia="华文宋体" w:cs="Times New Roman"/>
          <w:color w:val="000000" w:themeColor="text1"/>
          <w:sz w:val="28"/>
          <w:szCs w:val="28"/>
          <w14:textFill>
            <w14:solidFill>
              <w14:schemeClr w14:val="tx1"/>
            </w14:solidFill>
          </w14:textFill>
        </w:rPr>
        <w:t>1号）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邹城市林业局关于印发《邹城市林业局推广随机抽查工作的实施方案》的通知（邹林字</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﹝2016﹞</w:t>
      </w:r>
      <w:r>
        <w:rPr>
          <w:rFonts w:hint="eastAsia" w:ascii="Times New Roman" w:hAnsi="Times New Roman" w:eastAsia="华文宋体" w:cs="Times New Roman"/>
          <w:color w:val="000000" w:themeColor="text1"/>
          <w:sz w:val="28"/>
          <w:szCs w:val="28"/>
          <w14:textFill>
            <w14:solidFill>
              <w14:schemeClr w14:val="tx1"/>
            </w14:solidFill>
          </w14:textFill>
        </w:rPr>
        <w:t>12号）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全市生态绿化工作考核结果</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邹城市林业局“七五”普法责任清单</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邹城市机构编制委员会关于邹城市太平国家湿地公园管理处加挂邹城市湿地保护管理中心牌子的通知（邹编</w:t>
      </w:r>
      <w:r>
        <w:rPr>
          <w:rFonts w:hint="eastAsia" w:ascii="Times New Roman" w:hAnsi="Times New Roman" w:eastAsia="华文宋体" w:cs="Times New Roman"/>
          <w:color w:val="000000" w:themeColor="text1"/>
          <w:sz w:val="28"/>
          <w:szCs w:val="28"/>
          <w:lang w:eastAsia="zh-CN"/>
          <w14:textFill>
            <w14:solidFill>
              <w14:schemeClr w14:val="tx1"/>
            </w14:solidFill>
          </w14:textFill>
        </w:rPr>
        <w:t>﹝2017﹞</w:t>
      </w:r>
      <w:r>
        <w:rPr>
          <w:rFonts w:hint="eastAsia" w:ascii="Times New Roman" w:hAnsi="Times New Roman" w:eastAsia="华文宋体" w:cs="Times New Roman"/>
          <w:color w:val="000000" w:themeColor="text1"/>
          <w:sz w:val="28"/>
          <w:szCs w:val="28"/>
          <w14:textFill>
            <w14:solidFill>
              <w14:schemeClr w14:val="tx1"/>
            </w14:solidFill>
          </w14:textFill>
        </w:rPr>
        <w:t>7号）</w:t>
      </w:r>
    </w:p>
    <w:p>
      <w:pPr>
        <w:pStyle w:val="19"/>
        <w:numPr>
          <w:ilvl w:val="0"/>
          <w:numId w:val="35"/>
        </w:numPr>
        <w:spacing w:line="360" w:lineRule="auto"/>
        <w:ind w:firstLineChars="0"/>
        <w:rPr>
          <w:rFonts w:ascii="Times New Roman" w:hAnsi="Times New Roman" w:eastAsia="华文宋体" w:cs="Times New Roman"/>
          <w:color w:val="000000" w:themeColor="text1"/>
          <w:sz w:val="28"/>
          <w:szCs w:val="28"/>
          <w14:textFill>
            <w14:solidFill>
              <w14:schemeClr w14:val="tx1"/>
            </w14:solidFill>
          </w14:textFill>
        </w:rPr>
      </w:pPr>
      <w:r>
        <w:rPr>
          <w:rFonts w:hint="eastAsia" w:ascii="Times New Roman" w:hAnsi="Times New Roman" w:eastAsia="华文宋体" w:cs="Times New Roman"/>
          <w:color w:val="000000" w:themeColor="text1"/>
          <w:sz w:val="28"/>
          <w:szCs w:val="28"/>
          <w14:textFill>
            <w14:solidFill>
              <w14:schemeClr w14:val="tx1"/>
            </w14:solidFill>
          </w14:textFill>
        </w:rPr>
        <w:t>邹城市湿地保护管理中心工作制度汇编</w:t>
      </w:r>
    </w:p>
    <w:p>
      <w:pPr>
        <w:pStyle w:val="4"/>
      </w:pPr>
      <w:bookmarkStart w:id="48" w:name="_Toc519373575"/>
      <w:r>
        <w:rPr>
          <w:rFonts w:hint="eastAsia"/>
        </w:rPr>
        <w:t xml:space="preserve">5.3 </w:t>
      </w:r>
      <w:r>
        <w:t>科学规划</w:t>
      </w:r>
      <w:bookmarkEnd w:id="48"/>
    </w:p>
    <w:p>
      <w:pPr>
        <w:pStyle w:val="5"/>
      </w:pPr>
      <w:r>
        <w:rPr>
          <w:rFonts w:hint="eastAsia"/>
        </w:rPr>
        <w:t xml:space="preserve">5.3.1 </w:t>
      </w:r>
      <w:r>
        <w:t>指标要求</w:t>
      </w:r>
    </w:p>
    <w:p>
      <w:pPr>
        <w:pStyle w:val="19"/>
        <w:spacing w:line="360" w:lineRule="auto"/>
        <w:ind w:firstLine="560"/>
        <w:rPr>
          <w:rFonts w:ascii="Times New Roman" w:hAnsi="Times New Roman" w:eastAsia="华文宋体" w:cs="Times New Roman"/>
          <w:sz w:val="28"/>
          <w:szCs w:val="28"/>
        </w:rPr>
      </w:pPr>
      <w:r>
        <w:rPr>
          <w:rFonts w:ascii="Times New Roman" w:hAnsi="Times New Roman" w:eastAsia="华文宋体" w:cs="Times New Roman"/>
          <w:sz w:val="28"/>
          <w:szCs w:val="28"/>
        </w:rPr>
        <w:t>编制《国家森林城市建设总体规划》，并通过政府审议、颁布实施 2 年以上，能按期完成年度任务，并有相应的检查考核制度。</w:t>
      </w:r>
    </w:p>
    <w:p>
      <w:pPr>
        <w:pStyle w:val="5"/>
      </w:pPr>
      <w:r>
        <w:rPr>
          <w:rFonts w:hint="eastAsia"/>
        </w:rPr>
        <w:t xml:space="preserve">5.3.2 </w:t>
      </w:r>
      <w:r>
        <w:t>方法步骤</w:t>
      </w:r>
    </w:p>
    <w:p>
      <w:pPr>
        <w:pStyle w:val="19"/>
        <w:spacing w:line="360" w:lineRule="auto"/>
        <w:ind w:left="-2" w:leftChars="-1" w:firstLine="560"/>
        <w:jc w:val="left"/>
        <w:rPr>
          <w:rFonts w:ascii="Times New Roman" w:hAnsi="Times New Roman" w:eastAsia="华文宋体" w:cs="Times New Roman"/>
          <w:sz w:val="28"/>
          <w:szCs w:val="30"/>
        </w:rPr>
      </w:pPr>
      <w:r>
        <w:rPr>
          <w:rFonts w:ascii="Times New Roman" w:hAnsi="Times New Roman" w:eastAsia="华文宋体" w:cs="Times New Roman"/>
          <w:sz w:val="28"/>
          <w:szCs w:val="30"/>
        </w:rPr>
        <w:t>查阅相关文件。</w:t>
      </w:r>
    </w:p>
    <w:p>
      <w:pPr>
        <w:pStyle w:val="5"/>
      </w:pPr>
      <w:r>
        <w:rPr>
          <w:rFonts w:hint="eastAsia"/>
        </w:rPr>
        <w:t xml:space="preserve">5.3.3 </w:t>
      </w:r>
      <w:r>
        <w:t>自查结果</w:t>
      </w:r>
    </w:p>
    <w:p>
      <w:pPr>
        <w:spacing w:line="360" w:lineRule="auto"/>
        <w:ind w:firstLine="560" w:firstLineChars="200"/>
        <w:rPr>
          <w:rFonts w:ascii="Times New Roman" w:hAnsi="Times New Roman" w:eastAsia="华文宋体" w:cs="Times New Roman"/>
          <w:sz w:val="28"/>
          <w:szCs w:val="28"/>
        </w:rPr>
      </w:pPr>
      <w:r>
        <w:rPr>
          <w:rFonts w:ascii="Times New Roman" w:hAnsi="Times New Roman" w:eastAsia="华文宋体" w:cs="Times New Roman"/>
          <w:sz w:val="28"/>
          <w:szCs w:val="28"/>
        </w:rPr>
        <w:t>达标。邹城市人民政府聘请北京中森国际工程咨询有限责任公司编制了</w:t>
      </w:r>
      <w:bookmarkStart w:id="49" w:name="OLE_LINK1"/>
      <w:bookmarkStart w:id="50" w:name="OLE_LINK2"/>
      <w:r>
        <w:rPr>
          <w:rFonts w:ascii="Times New Roman" w:hAnsi="Times New Roman" w:eastAsia="华文宋体" w:cs="Times New Roman"/>
          <w:sz w:val="28"/>
          <w:szCs w:val="28"/>
        </w:rPr>
        <w:t>《山东省邹城市国家森林城市建设总体规划》</w:t>
      </w:r>
      <w:bookmarkEnd w:id="49"/>
      <w:bookmarkEnd w:id="50"/>
      <w:r>
        <w:rPr>
          <w:rFonts w:ascii="Times New Roman" w:hAnsi="Times New Roman" w:eastAsia="华文宋体" w:cs="Times New Roman"/>
          <w:sz w:val="28"/>
          <w:szCs w:val="28"/>
        </w:rPr>
        <w:t>，邀请山东省林业监测规划院等单位的专家对《山东省邹城市国家森林城市建设总体规划》进行了评审。</w:t>
      </w:r>
      <w:r>
        <w:rPr>
          <w:rStyle w:val="20"/>
          <w:rFonts w:ascii="Times New Roman" w:hAnsi="Times New Roman" w:eastAsia="华文宋体" w:cs="Times New Roman"/>
          <w:color w:val="auto"/>
          <w:sz w:val="28"/>
          <w:szCs w:val="28"/>
        </w:rPr>
        <w:t>通过专家评审后，邹城市人民政府批准了</w:t>
      </w:r>
      <w:r>
        <w:rPr>
          <w:rFonts w:ascii="Times New Roman" w:hAnsi="Times New Roman" w:eastAsia="华文宋体" w:cs="Times New Roman"/>
          <w:sz w:val="28"/>
          <w:szCs w:val="28"/>
        </w:rPr>
        <w:t>《山东省邹城市国家森林城市建设总体规划》</w:t>
      </w:r>
      <w:r>
        <w:rPr>
          <w:rStyle w:val="20"/>
          <w:rFonts w:ascii="Times New Roman" w:hAnsi="Times New Roman" w:eastAsia="华文宋体" w:cs="Times New Roman"/>
          <w:color w:val="auto"/>
          <w:sz w:val="28"/>
          <w:szCs w:val="28"/>
        </w:rPr>
        <w:t>。规划以生态文明建设为主题，以保护优先、自然恢复、转型升级、提质增效为主线，在森林生态体系建设、森林产业体系建设、森林城市支撑体系建设等方面分别制定了详细的规划，形成了完整的森林城市建设规划体系和年度任务，</w:t>
      </w:r>
      <w:r>
        <w:rPr>
          <w:rFonts w:ascii="Times New Roman" w:hAnsi="Times New Roman" w:eastAsia="华文宋体" w:cs="Times New Roman"/>
          <w:sz w:val="28"/>
          <w:szCs w:val="28"/>
        </w:rPr>
        <w:t>确保如期实现国家森林城市创建目标。</w:t>
      </w:r>
    </w:p>
    <w:p>
      <w:pPr>
        <w:pStyle w:val="5"/>
      </w:pPr>
      <w:r>
        <w:rPr>
          <w:rFonts w:hint="eastAsia"/>
        </w:rPr>
        <w:t xml:space="preserve">5.3.4 </w:t>
      </w:r>
      <w:r>
        <w:t>支撑材料</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山东省邹城市国家森林城市建设总体规划（2016-2026）</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《山东省邹城市国家森林城市建设总体规划》专家评审意见</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邹城市人民政府关于同意邹城市国家森林城市建设总体规划的批复（邹政字</w:t>
      </w:r>
      <w:r>
        <w:rPr>
          <w:rStyle w:val="20"/>
          <w:rFonts w:hint="eastAsia" w:ascii="Times New Roman" w:hAnsi="Times New Roman" w:eastAsia="华文宋体" w:cs="Times New Roman"/>
          <w:color w:val="auto"/>
          <w:kern w:val="0"/>
          <w:sz w:val="28"/>
          <w:szCs w:val="28"/>
          <w:lang w:eastAsia="zh-CN"/>
        </w:rPr>
        <w:t>﹝2016﹞</w:t>
      </w:r>
      <w:r>
        <w:rPr>
          <w:rStyle w:val="20"/>
          <w:rFonts w:hint="eastAsia" w:ascii="Times New Roman" w:hAnsi="Times New Roman" w:eastAsia="华文宋体" w:cs="Times New Roman"/>
          <w:color w:val="auto"/>
          <w:kern w:val="0"/>
          <w:sz w:val="28"/>
          <w:szCs w:val="28"/>
        </w:rPr>
        <w:t>37号）</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《山东省邹城林业生态文明示范区建设总体规划》评审意见</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《邹城市国家森林城市建设总体规划》编制采购项目单一来源协商情况记录</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邹城市林业发展“十三五”规划（2016-2020）</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邹城荒山生态修复工程修建性规划</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邹城市人民政府关于同意邹城市林地保护利用(2010-2020)修编规划的批复（邹政字</w:t>
      </w:r>
      <w:r>
        <w:rPr>
          <w:rStyle w:val="20"/>
          <w:rFonts w:hint="eastAsia" w:ascii="Times New Roman" w:hAnsi="Times New Roman" w:eastAsia="华文宋体" w:cs="Times New Roman"/>
          <w:color w:val="auto"/>
          <w:kern w:val="0"/>
          <w:sz w:val="28"/>
          <w:szCs w:val="28"/>
          <w:lang w:eastAsia="zh-CN"/>
        </w:rPr>
        <w:t>﹝2016﹞</w:t>
      </w:r>
      <w:r>
        <w:rPr>
          <w:rStyle w:val="20"/>
          <w:rFonts w:hint="eastAsia" w:ascii="Times New Roman" w:hAnsi="Times New Roman" w:eastAsia="华文宋体" w:cs="Times New Roman"/>
          <w:color w:val="auto"/>
          <w:kern w:val="0"/>
          <w:sz w:val="28"/>
          <w:szCs w:val="28"/>
        </w:rPr>
        <w:t>31号）</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邹城市林业局关于印发《石墙镇上九古村落景区核心区两侧可视荒山绿化方案》的通知（邹林字</w:t>
      </w:r>
      <w:r>
        <w:rPr>
          <w:rStyle w:val="20"/>
          <w:rFonts w:hint="eastAsia" w:ascii="Times New Roman" w:hAnsi="Times New Roman" w:eastAsia="华文宋体" w:cs="Times New Roman"/>
          <w:color w:val="auto"/>
          <w:kern w:val="0"/>
          <w:sz w:val="28"/>
          <w:szCs w:val="28"/>
          <w:lang w:eastAsia="zh-CN"/>
        </w:rPr>
        <w:t>﹝2016﹞</w:t>
      </w:r>
      <w:r>
        <w:rPr>
          <w:rStyle w:val="20"/>
          <w:rFonts w:hint="eastAsia" w:ascii="Times New Roman" w:hAnsi="Times New Roman" w:eastAsia="华文宋体" w:cs="Times New Roman"/>
          <w:color w:val="auto"/>
          <w:kern w:val="0"/>
          <w:sz w:val="28"/>
          <w:szCs w:val="28"/>
        </w:rPr>
        <w:t>9号）</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邹城市城市总体规划图</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邹城市市域乡村建设规划图（2016-2030）</w:t>
      </w:r>
    </w:p>
    <w:p>
      <w:pPr>
        <w:pStyle w:val="19"/>
        <w:numPr>
          <w:ilvl w:val="0"/>
          <w:numId w:val="36"/>
        </w:numPr>
        <w:spacing w:line="360" w:lineRule="auto"/>
        <w:jc w:val="left"/>
        <w:rPr>
          <w:rStyle w:val="20"/>
          <w:rFonts w:ascii="Times New Roman" w:hAnsi="Times New Roman" w:eastAsia="华文宋体" w:cs="Times New Roman"/>
          <w:color w:val="auto"/>
          <w:kern w:val="0"/>
          <w:sz w:val="28"/>
          <w:szCs w:val="28"/>
        </w:rPr>
      </w:pPr>
      <w:r>
        <w:rPr>
          <w:rStyle w:val="20"/>
          <w:rFonts w:hint="eastAsia" w:ascii="Times New Roman" w:hAnsi="Times New Roman" w:eastAsia="华文宋体" w:cs="Times New Roman"/>
          <w:color w:val="auto"/>
          <w:kern w:val="0"/>
          <w:sz w:val="28"/>
          <w:szCs w:val="28"/>
        </w:rPr>
        <w:t>照片</w:t>
      </w:r>
    </w:p>
    <w:p>
      <w:pPr>
        <w:pStyle w:val="4"/>
      </w:pPr>
      <w:bookmarkStart w:id="51" w:name="_Toc519373576"/>
      <w:r>
        <w:t>5.4 投入机制</w:t>
      </w:r>
      <w:bookmarkEnd w:id="51"/>
    </w:p>
    <w:p>
      <w:pPr>
        <w:pStyle w:val="5"/>
        <w:rPr>
          <w:rStyle w:val="21"/>
          <w:rFonts w:hint="default" w:ascii="Times New Roman" w:eastAsia="华文宋体" w:cs="Times New Roman"/>
          <w:color w:val="auto"/>
          <w:sz w:val="28"/>
          <w:szCs w:val="28"/>
        </w:rPr>
      </w:pPr>
      <w:r>
        <w:rPr>
          <w:rStyle w:val="21"/>
          <w:rFonts w:hint="default" w:ascii="Times New Roman" w:eastAsia="华文宋体" w:cs="Times New Roman"/>
          <w:color w:val="auto"/>
          <w:sz w:val="28"/>
          <w:szCs w:val="28"/>
        </w:rPr>
        <w:t>5.4.1 指标要求</w:t>
      </w:r>
    </w:p>
    <w:p>
      <w:pPr>
        <w:spacing w:line="360" w:lineRule="auto"/>
        <w:ind w:firstLine="560" w:firstLineChars="200"/>
        <w:rPr>
          <w:rFonts w:ascii="Times New Roman" w:hAnsi="Times New Roman" w:eastAsia="华文宋体" w:cs="Times New Roman"/>
          <w:sz w:val="30"/>
          <w:szCs w:val="30"/>
        </w:rPr>
      </w:pPr>
      <w:r>
        <w:rPr>
          <w:rStyle w:val="20"/>
          <w:rFonts w:ascii="Times New Roman" w:hAnsi="Times New Roman" w:eastAsia="华文宋体" w:cs="Times New Roman"/>
          <w:color w:val="auto"/>
          <w:sz w:val="28"/>
          <w:szCs w:val="28"/>
        </w:rPr>
        <w:t>把城市森林作为城市基础设施建设的重要内容纳入各级政府公共财政预算，建立政府引导，社会公益力量参与的投入机制。自申请创建以来，城市森林建设资金逐年增加。</w:t>
      </w:r>
    </w:p>
    <w:p>
      <w:pPr>
        <w:pStyle w:val="5"/>
      </w:pPr>
      <w:r>
        <w:rPr>
          <w:rFonts w:hint="eastAsia"/>
        </w:rPr>
        <w:t xml:space="preserve">5.4.2 </w:t>
      </w:r>
      <w:r>
        <w:rPr>
          <w:rStyle w:val="21"/>
          <w:rFonts w:hint="default" w:ascii="Times New Roman" w:eastAsia="华文宋体" w:cs="Times New Roman"/>
          <w:color w:val="auto"/>
          <w:sz w:val="28"/>
          <w:szCs w:val="28"/>
        </w:rPr>
        <w:t>方法步骤</w:t>
      </w:r>
    </w:p>
    <w:p>
      <w:pPr>
        <w:spacing w:line="360" w:lineRule="auto"/>
        <w:ind w:firstLine="560" w:firstLineChars="200"/>
        <w:rPr>
          <w:rFonts w:ascii="Times New Roman" w:hAnsi="Times New Roman" w:eastAsia="华文宋体" w:cs="Times New Roman"/>
          <w:sz w:val="28"/>
          <w:szCs w:val="28"/>
        </w:rPr>
      </w:pPr>
      <w:r>
        <w:rPr>
          <w:rStyle w:val="20"/>
          <w:rFonts w:ascii="Times New Roman" w:hAnsi="Times New Roman" w:eastAsia="华文宋体" w:cs="Times New Roman"/>
          <w:color w:val="auto"/>
          <w:sz w:val="28"/>
          <w:szCs w:val="28"/>
        </w:rPr>
        <w:t>查阅相关文件、相关工程建设投资材料。</w:t>
      </w:r>
    </w:p>
    <w:p>
      <w:pPr>
        <w:pStyle w:val="5"/>
        <w:rPr>
          <w:rStyle w:val="21"/>
          <w:rFonts w:hint="default" w:ascii="Times New Roman" w:eastAsia="华文宋体" w:cs="Times New Roman"/>
          <w:color w:val="auto"/>
          <w:sz w:val="28"/>
          <w:szCs w:val="28"/>
        </w:rPr>
      </w:pPr>
      <w:r>
        <w:rPr>
          <w:rFonts w:hint="eastAsia"/>
        </w:rPr>
        <w:t xml:space="preserve">5.4.3 </w:t>
      </w:r>
      <w:r>
        <w:rPr>
          <w:rStyle w:val="21"/>
          <w:rFonts w:hint="default" w:ascii="Times New Roman" w:eastAsia="华文宋体" w:cs="Times New Roman"/>
          <w:color w:val="auto"/>
          <w:sz w:val="28"/>
          <w:szCs w:val="28"/>
        </w:rPr>
        <w:t>自查结果</w:t>
      </w:r>
    </w:p>
    <w:p>
      <w:pPr>
        <w:spacing w:line="360" w:lineRule="auto"/>
        <w:ind w:firstLine="560" w:firstLineChars="200"/>
        <w:rPr>
          <w:rStyle w:val="21"/>
          <w:rFonts w:hint="default" w:ascii="Times New Roman" w:hAnsi="Times New Roman" w:eastAsia="华文宋体" w:cs="Times New Roman"/>
          <w:color w:val="auto"/>
          <w:sz w:val="28"/>
          <w:szCs w:val="28"/>
        </w:rPr>
      </w:pPr>
      <w:r>
        <w:rPr>
          <w:rStyle w:val="21"/>
          <w:rFonts w:hint="default" w:ascii="Times New Roman" w:hAnsi="Times New Roman" w:eastAsia="华文宋体" w:cs="Times New Roman"/>
          <w:color w:val="auto"/>
          <w:sz w:val="28"/>
          <w:szCs w:val="28"/>
        </w:rPr>
        <w:t>达标。邹城市自创建国家森林城市以来，把城市森林作为城市基础设施建设的重要内容。在邹城</w:t>
      </w:r>
      <w:r>
        <w:rPr>
          <w:rStyle w:val="21"/>
          <w:rFonts w:hint="default" w:ascii="Times New Roman" w:hAnsi="Times New Roman" w:eastAsia="华文宋体" w:cs="Times New Roman"/>
          <w:color w:val="FF0000"/>
          <w:sz w:val="28"/>
          <w:szCs w:val="28"/>
        </w:rPr>
        <w:t>市委</w:t>
      </w:r>
      <w:r>
        <w:rPr>
          <w:rStyle w:val="21"/>
          <w:rFonts w:hint="eastAsia" w:ascii="Times New Roman" w:hAnsi="Times New Roman" w:eastAsia="华文宋体" w:cs="Times New Roman"/>
          <w:color w:val="FF0000"/>
          <w:sz w:val="28"/>
          <w:szCs w:val="28"/>
          <w:lang w:eastAsia="zh-CN"/>
        </w:rPr>
        <w:t>、</w:t>
      </w:r>
      <w:r>
        <w:rPr>
          <w:rStyle w:val="21"/>
          <w:rFonts w:hint="default" w:ascii="Times New Roman" w:hAnsi="Times New Roman" w:eastAsia="华文宋体" w:cs="Times New Roman"/>
          <w:color w:val="FF0000"/>
          <w:sz w:val="28"/>
          <w:szCs w:val="28"/>
        </w:rPr>
        <w:t>市政府</w:t>
      </w:r>
      <w:r>
        <w:rPr>
          <w:rStyle w:val="21"/>
          <w:rFonts w:hint="default" w:ascii="Times New Roman" w:hAnsi="Times New Roman" w:eastAsia="华文宋体" w:cs="Times New Roman"/>
          <w:color w:val="auto"/>
          <w:sz w:val="28"/>
          <w:szCs w:val="28"/>
        </w:rPr>
        <w:t>的领导下，邹城市全力推进国家森林城市创建工作，不断加大财政资金投入力度，将林业建设资金列入财政预算，列支专项资金实施唐王山、接驾山、大小牙山等荒山绿化示范工程建设；将退耕还林工程纳入年度财政预算，对新增退耕还林区</w:t>
      </w:r>
      <w:r>
        <w:rPr>
          <w:rStyle w:val="21"/>
          <w:rFonts w:hint="default" w:ascii="Times New Roman" w:hAnsi="Times New Roman" w:eastAsia="华文宋体" w:cs="Times New Roman"/>
          <w:color w:val="FF0000"/>
          <w:sz w:val="28"/>
          <w:szCs w:val="28"/>
        </w:rPr>
        <w:t>分树种</w:t>
      </w:r>
      <w:r>
        <w:rPr>
          <w:rStyle w:val="21"/>
          <w:rFonts w:hint="default" w:ascii="Times New Roman" w:hAnsi="Times New Roman" w:eastAsia="华文宋体" w:cs="Times New Roman"/>
          <w:color w:val="auto"/>
          <w:sz w:val="28"/>
          <w:szCs w:val="28"/>
        </w:rPr>
        <w:t>每亩补助900-1100元；对高速公路、重要道路、水系绿化实施占地补偿，每亩每年补助1000-1800元；列支专项资金，实施了护驾山公园、平安路、成功路等城区裸露土地专项治理工程；2016、2017年市财政列支3.2亿元用于美丽乡村和镇驻地提升工程。进一步完善奖励扶持政策，积极争取国家、省市重点林业项目支持，扩大林业基础设施、重点工程等投入规模；鼓励金融机构开展林权抵押贷款、林农小额信誉贷款、森林资源保险等业务；积极探索以资代劳、认捐认养等多元化投入机制，引导各类投资主体积极参与造林绿化。目前全社会已累计投资14.1亿元，其中各级财政资金（含中央、省、济宁市）投入6.6亿元，吸引社会投资7.5亿元。</w:t>
      </w:r>
    </w:p>
    <w:p>
      <w:pPr>
        <w:pStyle w:val="5"/>
        <w:rPr>
          <w:rStyle w:val="21"/>
          <w:rFonts w:hint="default" w:ascii="Times New Roman" w:eastAsia="华文宋体" w:cs="Times New Roman"/>
          <w:color w:val="auto"/>
          <w:sz w:val="28"/>
          <w:szCs w:val="28"/>
        </w:rPr>
      </w:pPr>
      <w:r>
        <w:rPr>
          <w:rStyle w:val="21"/>
          <w:rFonts w:hint="default" w:ascii="Times New Roman" w:eastAsia="华文宋体" w:cs="Times New Roman"/>
          <w:color w:val="auto"/>
          <w:sz w:val="28"/>
          <w:szCs w:val="28"/>
        </w:rPr>
        <w:t>5.4.4 支撑材料</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邹城市财政局关于邹城市创建国家森林城市投资情况说明</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济宁市林业局关于拨付森林资源普查工作经费的通知（济林财函</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17号）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邹城市财政局关于下达2016年度退耕还林等林业重点工程建设补助资金计划的通知（邹财农</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济宁市林业局关于2017年度市级森林生态效益补偿基金拟分配方案的报告（济林函</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21号）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济宁市林业局关于拔付省级林业有害生物防治补助资金的通知（济林财函</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18号）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山东省林业厅关于对2016年现代农业生产发展资金木本粮油和苗木花卉产业项目建设内容与概算备案的通知（鲁林规字</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251号）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济宁市林业局关于实施2017年中央财政林业改革发展资金项目的通知（济林字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66号）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济宁市财政局关于下达2017年省财政部分林业专项资金预算指标的通知（济财农指</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41号）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济宁市财政局关于下达2017年市级国家森林城市建设工程补助资金预算指标的通知（济财农指</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103号）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关于邹城市现代林果科技研究院苗木组培中心等工程建设奖补资金的申请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济宁市财政局关于2017年创建国家森林诚市专项经费的申请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邹城市林业局关于2017年度林业贴息贷款项目自查报告（邹林财字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5号）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邹城市林业局关于2017年林业贴息贷款使用情况的报告（邹林字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36号）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邹城市林业局关于提报2017年林业贴息货款项目计划的申请报告（邹林呈字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3号）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邹城市林业局关于2017年林业贴息贷款使用情况的报告（邹林财字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16号）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邹城市林业局关于2017年退耕还林还果等林业重点工程项目验收聘用中介服务费用的申请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邹城市林业局关于第九次森林资源清查工作经费的申请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邹城市林业局关于森林防火监控自动预警系统二期建设项目资金的申请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邹城市林业局关于护林防火资金的通知（邹林财字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16号）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邹城市林业局关于有害生物防治扶持资金的通知（邹林财字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12号）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邹城市林业局关于有害生物防治资金的通知（邹林财字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14号）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邹城市林业局关于邹城市十八盘、凫山自然保护区和太平国家湿地公园管理处成立资金的申请（邹林呈字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16号）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邹城市林业局关于拨付果园管理补助资金的通知（邹林财字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7号）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邹城市林业局关于拨付果园管理补助资金的通知（邹林财字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8号）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邹城市林业局关于拨付造林绿化补助资金的通知（邹林财字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11号）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邹城市林业局关于拨付造林绿化补助资金的通知（邹林财字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13号）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邹城市林业局关于拨付造林育苗补助资金的通知</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邹城市林业局关于拨付长江防护林造林资金的通知（邹林财字〔2017〕2号）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济宁市林业局关于下达2015年林业有害生物防控体系续建项目中央预算内投资计划的通知（济林财字</w:t>
      </w:r>
      <w:r>
        <w:rPr>
          <w:rFonts w:hint="eastAsia" w:ascii="Times New Roman" w:hAnsi="Times New Roman" w:cs="Times New Roman"/>
          <w:sz w:val="28"/>
          <w:szCs w:val="28"/>
          <w:lang w:eastAsia="zh-CN"/>
        </w:rPr>
        <w:t>﹝2015﹞</w:t>
      </w:r>
      <w:r>
        <w:rPr>
          <w:rFonts w:hint="eastAsia" w:ascii="Times New Roman" w:hAnsi="Times New Roman" w:cs="Times New Roman"/>
          <w:sz w:val="28"/>
          <w:szCs w:val="28"/>
        </w:rPr>
        <w:t>49号）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邹城市财政局关于下达2016年市级森林生态效益补偿和绿色生态屏障建设资金预算指标的通知（邹财农指</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14号）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邹城市财政局关于下达2016年省财政林业专项资金预算指标的通知（邹财农指</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2号）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济宁市财政局关于下达2016年市级森林生态效益补偿和绿色生态屏障建设资金预算指标的通知（济财农指</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100号）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济宁市财政局关于下达2016年中央财政林业补助资金预算指标的通知（济财农指</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70号）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邹城市财政局关于预拨2016年市级绿色生态屏障建设资金预算指标的通知（邹财农指</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70号）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济宁市林业局关于下达2016年省级林业专项资金补助计划的通知（济林字</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29号）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济宁市林业局关于做好2016年市级绿色生态屏障建设资金项目实施工作的通知（济林字</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33号）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济宁市林业局关于实施2016年度中央财政林业补助资金项目的通知（济林字</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60号）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邹城市林业局关于拔付2016年市级绿色生态屏障建设补助资金的通知（邹林财字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邹城市林业局关于拨付2016年度森林生态效益补偿基金的通知（邹林财字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10号）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邹城市财政局关于分配2015年度退耕还林等林业重点工程建设补助资金的通知（邹财农指</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14号）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邹城市财政局关于下达2015年度创建全国绿化模范城市市财政以奖代补资金预算指标的通知（邹财农指</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15号）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邹城市财政局关于下达2015年中央财政林业补助资金预算指标的通知（邹财农指</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24号）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邹城市林业局关于2015年度林业项目资金争取情况的通报</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邹城市财政局关于下达2015年中央财政部分林业补助资金预算指标的通知（邹财农指</w:t>
      </w:r>
      <w:r>
        <w:rPr>
          <w:rFonts w:hint="eastAsia" w:ascii="Times New Roman" w:hAnsi="Times New Roman" w:cs="Times New Roman"/>
          <w:sz w:val="28"/>
          <w:szCs w:val="28"/>
          <w:lang w:eastAsia="zh-CN"/>
        </w:rPr>
        <w:t>﹝2015﹞</w:t>
      </w:r>
      <w:r>
        <w:rPr>
          <w:rFonts w:hint="eastAsia" w:ascii="Times New Roman" w:hAnsi="Times New Roman" w:cs="Times New Roman"/>
          <w:sz w:val="28"/>
          <w:szCs w:val="28"/>
        </w:rPr>
        <w:t>52号）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邹城市财政局关于下达2015年省财政林业专项资金预算指标的通知（邹财农指</w:t>
      </w:r>
      <w:r>
        <w:rPr>
          <w:rFonts w:hint="eastAsia" w:ascii="Times New Roman" w:hAnsi="Times New Roman" w:cs="Times New Roman"/>
          <w:sz w:val="28"/>
          <w:szCs w:val="28"/>
          <w:lang w:eastAsia="zh-CN"/>
        </w:rPr>
        <w:t>﹝2015﹞</w:t>
      </w:r>
      <w:r>
        <w:rPr>
          <w:rFonts w:hint="eastAsia" w:ascii="Times New Roman" w:hAnsi="Times New Roman" w:cs="Times New Roman"/>
          <w:sz w:val="28"/>
          <w:szCs w:val="28"/>
        </w:rPr>
        <w:t>53号）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邹城市财政局关于下达2016年中央财政林业一般性转移支付补助资金的通知（邹财农指</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15号）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济宁市林业局关于下达2015年林业有害生物防控体系续建项目中央预算内投资计划的通知（济林财字</w:t>
      </w:r>
      <w:r>
        <w:rPr>
          <w:rFonts w:hint="eastAsia" w:ascii="Times New Roman" w:hAnsi="Times New Roman" w:cs="Times New Roman"/>
          <w:sz w:val="28"/>
          <w:szCs w:val="28"/>
          <w:lang w:eastAsia="zh-CN"/>
        </w:rPr>
        <w:t>﹝2015﹞</w:t>
      </w:r>
      <w:r>
        <w:rPr>
          <w:rFonts w:hint="eastAsia" w:ascii="Times New Roman" w:hAnsi="Times New Roman" w:cs="Times New Roman"/>
          <w:sz w:val="28"/>
          <w:szCs w:val="28"/>
        </w:rPr>
        <w:t>49号）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邹城市财政局关于下达2015年森林资源保护与管理(森林</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2017年度全国林业行业会计决算报表</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2016年度全国林业行业会计决算报表</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2015年度全国林业行业会计决算报表</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2017年供货合同书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2017年邹城市林业局供货合同书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2017年邹城市林业局森林防火监控自动预警系统续建公开招标项目</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2017年邹城市林业局森林防火监控自动预警系统续建项目成交公告</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2017年中标通知书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2017年邹城市府采购供货验收单</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济宁市农业局关于2017年市级农产品质量安全建设项目实施方案的批复（济农字</w:t>
      </w:r>
      <w:r>
        <w:rPr>
          <w:rFonts w:hint="eastAsia" w:ascii="Times New Roman" w:hAnsi="Times New Roman" w:cs="Times New Roman"/>
          <w:sz w:val="28"/>
          <w:szCs w:val="28"/>
          <w:lang w:eastAsia="zh-CN"/>
        </w:rPr>
        <w:t>﹝2018﹞</w:t>
      </w:r>
      <w:r>
        <w:rPr>
          <w:rFonts w:hint="eastAsia" w:ascii="Times New Roman" w:hAnsi="Times New Roman" w:cs="Times New Roman"/>
          <w:sz w:val="28"/>
          <w:szCs w:val="28"/>
        </w:rPr>
        <w:t>20号）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邹城市林业局2017年林业有害生物承包防控公开招标项目采购合同</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2016邹城市林业局森林防火监控自动预警系统建设公开招标项目招标文件</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邹城市林业局关于上报2016年市级绿色生态屏障建设资金项目实施方案的报告（邹林呈字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2号）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2016年邹城市林业局森林防火监控自动预警系统建设公开招标项目采购合同</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2016年邹城市林业局森林防火监控自动预警系统建设公开招标项目合同公示</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2016年邹城市林业局森林防火监控自动预警系统建设公开招标项目报告</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2016年供货合同书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2016年有害生物防控中标通知书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2016年政府集中采购计划申请表</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2016年中标通知书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2016年邹城市政府采购合同书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2016年防火监控中标通知书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邹城市林业局关于申请拨付2016年度京台高速公路裸露山体绿化(大束云山营段)工程款的报告（邹林字</w:t>
      </w:r>
      <w:r>
        <w:rPr>
          <w:rFonts w:hint="eastAsia" w:ascii="Times New Roman" w:hAnsi="Times New Roman" w:cs="Times New Roman"/>
          <w:sz w:val="28"/>
          <w:szCs w:val="28"/>
          <w:lang w:eastAsia="zh-CN"/>
        </w:rPr>
        <w:t>﹝2017﹞</w:t>
      </w:r>
      <w:r>
        <w:rPr>
          <w:rFonts w:hint="eastAsia" w:ascii="Times New Roman" w:hAnsi="Times New Roman" w:cs="Times New Roman"/>
          <w:sz w:val="28"/>
          <w:szCs w:val="28"/>
        </w:rPr>
        <w:t>4号）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邹城市林业局关于利用国际金融组织贷款实施林业建设项目的请示</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中共邹城市委关于创建国家森林城市加快生态美丽邹城建设的意见（邹发</w:t>
      </w:r>
      <w:r>
        <w:rPr>
          <w:rFonts w:hint="eastAsia" w:ascii="Times New Roman" w:hAnsi="Times New Roman" w:cs="Times New Roman"/>
          <w:sz w:val="28"/>
          <w:szCs w:val="28"/>
          <w:lang w:eastAsia="zh-CN"/>
        </w:rPr>
        <w:t>﹝2016﹞</w:t>
      </w:r>
      <w:r>
        <w:rPr>
          <w:rFonts w:hint="eastAsia" w:ascii="Times New Roman" w:hAnsi="Times New Roman" w:cs="Times New Roman"/>
          <w:sz w:val="28"/>
          <w:szCs w:val="28"/>
        </w:rPr>
        <w:t>5号）</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2017年森林防火监控中标通知书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《邹城市国家森林城市建设总体规划》编制采购项目单一来源协商情况记录</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2015年有害生物防控中标通知书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2015年邹城市政府采购供货验收单</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2015年邹城市林业局森防装备器材采购合同书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2015邹城市尼山项目森林防火物资采购供货合同书</w:t>
      </w:r>
    </w:p>
    <w:p>
      <w:pPr>
        <w:pStyle w:val="19"/>
        <w:numPr>
          <w:ilvl w:val="0"/>
          <w:numId w:val="37"/>
        </w:numPr>
        <w:spacing w:line="360" w:lineRule="auto"/>
        <w:ind w:firstLine="560"/>
        <w:jc w:val="left"/>
        <w:rPr>
          <w:rFonts w:ascii="Times New Roman" w:hAnsi="Times New Roman" w:cs="Times New Roman"/>
          <w:sz w:val="28"/>
          <w:szCs w:val="28"/>
        </w:rPr>
      </w:pPr>
      <w:r>
        <w:rPr>
          <w:rFonts w:hint="eastAsia" w:ascii="Times New Roman" w:hAnsi="Times New Roman" w:cs="Times New Roman"/>
          <w:sz w:val="28"/>
          <w:szCs w:val="28"/>
        </w:rPr>
        <w:t>照片</w:t>
      </w:r>
    </w:p>
    <w:p>
      <w:pPr>
        <w:pStyle w:val="4"/>
      </w:pPr>
      <w:bookmarkStart w:id="52" w:name="_Toc519373577"/>
      <w:r>
        <w:rPr>
          <w:rFonts w:hint="eastAsia"/>
        </w:rPr>
        <w:t xml:space="preserve">5.5 </w:t>
      </w:r>
      <w:r>
        <w:t>科技支撑</w:t>
      </w:r>
      <w:bookmarkEnd w:id="52"/>
    </w:p>
    <w:p>
      <w:pPr>
        <w:pStyle w:val="5"/>
        <w:rPr>
          <w:rStyle w:val="21"/>
          <w:rFonts w:hint="default" w:ascii="Times New Roman" w:eastAsia="华文宋体" w:cs="Times New Roman"/>
          <w:sz w:val="28"/>
          <w:szCs w:val="28"/>
        </w:rPr>
      </w:pPr>
      <w:r>
        <w:rPr>
          <w:rStyle w:val="21"/>
          <w:rFonts w:hint="default" w:ascii="Times New Roman" w:eastAsia="华文宋体" w:cs="Times New Roman"/>
          <w:sz w:val="28"/>
          <w:szCs w:val="28"/>
        </w:rPr>
        <w:t>5.5.1 指标要求</w:t>
      </w:r>
    </w:p>
    <w:p>
      <w:pPr>
        <w:spacing w:line="360" w:lineRule="auto"/>
        <w:ind w:firstLine="560" w:firstLineChars="20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城市森林建设有长期稳定的科技支撑措施，按照相关的技术标准实施，制订符合地方实际的城市森林营造、管护和更新等技术规范和手册，并有一定的专业科技人才保障。</w:t>
      </w:r>
    </w:p>
    <w:p>
      <w:pPr>
        <w:pStyle w:val="5"/>
        <w:rPr>
          <w:rStyle w:val="21"/>
          <w:rFonts w:hint="default" w:ascii="Times New Roman" w:eastAsia="华文宋体"/>
          <w:color w:val="auto"/>
          <w:sz w:val="28"/>
          <w:szCs w:val="28"/>
        </w:rPr>
      </w:pPr>
      <w:r>
        <w:rPr>
          <w:rStyle w:val="21"/>
          <w:rFonts w:hint="default" w:ascii="Times New Roman" w:eastAsia="华文宋体"/>
          <w:color w:val="auto"/>
          <w:sz w:val="28"/>
          <w:szCs w:val="28"/>
        </w:rPr>
        <w:t>5.5.2 方法步骤</w:t>
      </w:r>
    </w:p>
    <w:p>
      <w:pPr>
        <w:spacing w:line="360" w:lineRule="auto"/>
        <w:ind w:firstLine="560" w:firstLineChars="20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根据各部门提供的相应材料。</w:t>
      </w:r>
    </w:p>
    <w:p>
      <w:pPr>
        <w:pStyle w:val="5"/>
        <w:rPr>
          <w:rStyle w:val="21"/>
          <w:rFonts w:hint="default" w:ascii="Times New Roman" w:eastAsia="华文宋体" w:cs="Times New Roman"/>
          <w:sz w:val="28"/>
          <w:szCs w:val="28"/>
        </w:rPr>
      </w:pPr>
      <w:r>
        <w:rPr>
          <w:rStyle w:val="21"/>
          <w:rFonts w:hint="default" w:ascii="Times New Roman" w:eastAsia="华文宋体" w:cs="Times New Roman"/>
          <w:sz w:val="28"/>
          <w:szCs w:val="28"/>
        </w:rPr>
        <w:t>5.5.3 自查结果</w:t>
      </w:r>
    </w:p>
    <w:p>
      <w:pPr>
        <w:autoSpaceDE w:val="0"/>
        <w:autoSpaceDN w:val="0"/>
        <w:spacing w:line="360" w:lineRule="auto"/>
        <w:ind w:firstLine="560" w:firstLineChars="20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达标。邹城市在创建国家森林城市过程中生按照“</w:t>
      </w:r>
      <w:r>
        <w:rPr>
          <w:rStyle w:val="21"/>
          <w:rFonts w:hint="default" w:ascii="Times New Roman" w:hAnsi="Times New Roman" w:eastAsia="宋体" w:cs="Times New Roman"/>
          <w:sz w:val="28"/>
          <w:szCs w:val="28"/>
        </w:rPr>
        <w:t>生</w:t>
      </w:r>
      <w:r>
        <w:rPr>
          <w:rStyle w:val="21"/>
          <w:rFonts w:hint="default" w:ascii="Times New Roman" w:hAnsi="Times New Roman" w:eastAsia="华文宋体" w:cs="Times New Roman"/>
          <w:sz w:val="28"/>
          <w:szCs w:val="28"/>
        </w:rPr>
        <w:t>态优先，产业支撑，建设现代化林业大市”的工作目标，不断深化林业科技改革</w:t>
      </w:r>
      <w:r>
        <w:rPr>
          <w:rStyle w:val="21"/>
          <w:rFonts w:hint="default" w:ascii="Times New Roman" w:hAnsi="Times New Roman" w:eastAsia="宋体" w:cs="Times New Roman"/>
          <w:sz w:val="28"/>
          <w:szCs w:val="28"/>
        </w:rPr>
        <w:t>，</w:t>
      </w:r>
      <w:r>
        <w:rPr>
          <w:rStyle w:val="21"/>
          <w:rFonts w:hint="default" w:ascii="Times New Roman" w:hAnsi="Times New Roman" w:eastAsia="华文宋体" w:cs="Times New Roman"/>
          <w:sz w:val="28"/>
          <w:szCs w:val="28"/>
        </w:rPr>
        <w:t>加强林业的指导作用。加强现代林果科技示范基地建设，积极与国家、省市林业科研单位和各大林业高校建立科技合作关系，与中国林科院合作建设了高标准核桃示范园；实行创新“互联网+现代林业”发展模式</w:t>
      </w:r>
      <w:r>
        <w:rPr>
          <w:rStyle w:val="21"/>
          <w:rFonts w:hint="default" w:ascii="Times New Roman" w:hAnsi="Times New Roman" w:eastAsia="宋体" w:cs="Times New Roman"/>
          <w:sz w:val="28"/>
          <w:szCs w:val="28"/>
        </w:rPr>
        <w:t>。</w:t>
      </w:r>
      <w:r>
        <w:rPr>
          <w:rStyle w:val="21"/>
          <w:rFonts w:hint="default" w:ascii="Times New Roman" w:hAnsi="Times New Roman" w:eastAsia="华文宋体" w:cs="Times New Roman"/>
          <w:sz w:val="28"/>
          <w:szCs w:val="28"/>
        </w:rPr>
        <w:t>实行“技术托管”，与省果树研究所签订科技合作协议；强化与北京林业大学等各大高校在科技、人才、信息、项目等方面深入交流合作，实现林业生产科学化。同时，按照相关技术标准，制定了森林营造、管护等方面的技术规范要求，保证森林城市建设标准和质量，从而保障了邹城森林城市规划的实施。</w:t>
      </w:r>
    </w:p>
    <w:p>
      <w:pPr>
        <w:pStyle w:val="5"/>
        <w:rPr>
          <w:rStyle w:val="21"/>
          <w:rFonts w:hint="default" w:ascii="Times New Roman" w:eastAsia="华文宋体"/>
          <w:color w:val="auto"/>
          <w:sz w:val="28"/>
          <w:szCs w:val="28"/>
        </w:rPr>
      </w:pPr>
      <w:r>
        <w:rPr>
          <w:rStyle w:val="21"/>
          <w:rFonts w:hint="default" w:ascii="Times New Roman" w:eastAsia="华文宋体"/>
          <w:color w:val="auto"/>
          <w:sz w:val="28"/>
          <w:szCs w:val="28"/>
        </w:rPr>
        <w:t>5.5.4 支撑材料</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林业技术人员人员花名册</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科技特派员信息表</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邹城市现代林果科技研究院关于配备有关人员的申请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邹城市林业局关于邹城市现代林果科技研究院有关人员配备的批复（邹林字</w:t>
      </w:r>
      <w:r>
        <w:rPr>
          <w:rStyle w:val="21"/>
          <w:rFonts w:hint="eastAsia" w:ascii="Times New Roman" w:hAnsi="Times New Roman" w:eastAsia="华文宋体" w:cs="Times New Roman"/>
          <w:sz w:val="28"/>
          <w:szCs w:val="28"/>
          <w:lang w:eastAsia="zh-CN"/>
        </w:rPr>
        <w:t>﹝2016﹞</w:t>
      </w:r>
      <w:r>
        <w:rPr>
          <w:rStyle w:val="21"/>
          <w:rFonts w:hint="default" w:ascii="Times New Roman" w:hAnsi="Times New Roman" w:eastAsia="华文宋体" w:cs="Times New Roman"/>
          <w:sz w:val="28"/>
          <w:szCs w:val="28"/>
        </w:rPr>
        <w:t>13号）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林果科技顾问聘任协议书</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林果科技顾问聘任协议书</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林果科技顾问聘任协议书</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2017年第九次森林资源清查领导讲话和培训资料</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2018年邹城市科技局创森宣传</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关于召开2017年度文化科技卫生三下乡活动筹备会的通知</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邹城市林业局关于参加“现代苹果矮砧集约栽培技术观摩培训班”的预备通知</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邹城市林业局关于参加济宁市果品质量监管暨精准扶贫管理培训会的通知</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邹城市林业局关于组织参加2016全省第八期果树行业关键技术培训班的通知</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邹城市林业局关于举办邹城市冬季果园管理技术培训班的通知</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邹城市林业局关于参加济宁市经济林转型升级及产品质量监管培训会的通知</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关于举办邹城市2016年度文化科技卫生三下乡集中服务活动启动仪式的通知</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邹城市林业局关于举办全市林地变更工作技术培训班的通知</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山东省林业厅关于举办县级林地变更工作技术培训的通知（鲁林监规字</w:t>
      </w:r>
      <w:r>
        <w:rPr>
          <w:rStyle w:val="21"/>
          <w:rFonts w:hint="eastAsia" w:ascii="Times New Roman" w:hAnsi="Times New Roman" w:eastAsia="华文宋体" w:cs="Times New Roman"/>
          <w:sz w:val="28"/>
          <w:szCs w:val="28"/>
          <w:lang w:eastAsia="zh-CN"/>
        </w:rPr>
        <w:t>﹝2015﹞</w:t>
      </w:r>
      <w:r>
        <w:rPr>
          <w:rStyle w:val="21"/>
          <w:rFonts w:hint="default" w:ascii="Times New Roman" w:hAnsi="Times New Roman" w:eastAsia="华文宋体" w:cs="Times New Roman"/>
          <w:sz w:val="28"/>
          <w:szCs w:val="28"/>
        </w:rPr>
        <w:t>298号）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山东省“共筑中国梦、欢庆幸福年”冬春系列文化惠民暨济宁市2015年度文化科技卫生三下乡集中服务活动启动仪式实施方案</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2017年邹城市新植树木夏季管理意见</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邹城市林业技术推广站保水剂在荒山造林中的推广应用研究</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侧柏、火炬树造林技术要点</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邹城市林业技术推广站侧柏秋季随采种随播种育苗技术</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侧柏容器育苗技术</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邹城市林业局大樱桃技术培训班方案</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邹城市林业局果树技术培训班方案</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黑松造林技术要点</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蜀桧栽植管理技术意见</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邹城市林业技术推广站新植树木夏季管理意见</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杨树栽植技术要点</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猪牙皂栽培管理技术</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2016年春季植树造林技术要点</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邹城市林业技术推广站干旱瘠薄山地生态林建设综合技术研究与示范可行性研究报告</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采煤塌陷区新生湿地科学实验站可行性研究报告</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核桃增产潜势技术创新体系推广项目实施方案</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邹城市林业技术推广站荒山直播造林技术研究与推广科研报告</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邹城市财政局三孟古树复壮关键技术研究立项文件（邹财字</w:t>
      </w:r>
      <w:r>
        <w:rPr>
          <w:rStyle w:val="21"/>
          <w:rFonts w:hint="eastAsia" w:ascii="Times New Roman" w:hAnsi="Times New Roman" w:eastAsia="华文宋体" w:cs="Times New Roman"/>
          <w:sz w:val="28"/>
          <w:szCs w:val="28"/>
          <w:lang w:eastAsia="zh-CN"/>
        </w:rPr>
        <w:t>﹝2017﹞</w:t>
      </w:r>
      <w:r>
        <w:rPr>
          <w:rStyle w:val="21"/>
          <w:rFonts w:hint="default" w:ascii="Times New Roman" w:hAnsi="Times New Roman" w:eastAsia="华文宋体" w:cs="Times New Roman"/>
          <w:sz w:val="28"/>
          <w:szCs w:val="28"/>
        </w:rPr>
        <w:t>127号）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邹城市林业技术推广站猪牙皂保护与开发利用技术研究技术报告</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邹城市大樱桃高产高效示范基地建设项目可行性研究报告</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邹城市林业局关于申报《2016年邹城市现代农业生产发展资金核桃产业项目申报书》的请示（邹林呈字</w:t>
      </w:r>
      <w:r>
        <w:rPr>
          <w:rStyle w:val="21"/>
          <w:rFonts w:hint="eastAsia" w:ascii="Times New Roman" w:hAnsi="Times New Roman" w:eastAsia="华文宋体" w:cs="Times New Roman"/>
          <w:sz w:val="28"/>
          <w:szCs w:val="28"/>
          <w:lang w:eastAsia="zh-CN"/>
        </w:rPr>
        <w:t>﹝2016﹞</w:t>
      </w:r>
      <w:r>
        <w:rPr>
          <w:rStyle w:val="21"/>
          <w:rFonts w:hint="default" w:ascii="Times New Roman" w:hAnsi="Times New Roman" w:eastAsia="华文宋体" w:cs="Times New Roman"/>
          <w:sz w:val="28"/>
          <w:szCs w:val="28"/>
        </w:rPr>
        <w:t>22号）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山东省住房和城乡建设厅关于公布2016年山东省人居环境范例项目评价结果的通报（鲁建城字</w:t>
      </w:r>
      <w:r>
        <w:rPr>
          <w:rStyle w:val="21"/>
          <w:rFonts w:hint="eastAsia" w:ascii="Times New Roman" w:hAnsi="Times New Roman" w:eastAsia="华文宋体" w:cs="Times New Roman"/>
          <w:sz w:val="28"/>
          <w:szCs w:val="28"/>
          <w:lang w:eastAsia="zh-CN"/>
        </w:rPr>
        <w:t>﹝2017﹞</w:t>
      </w:r>
      <w:r>
        <w:rPr>
          <w:rStyle w:val="21"/>
          <w:rFonts w:hint="default" w:ascii="Times New Roman" w:hAnsi="Times New Roman" w:eastAsia="华文宋体" w:cs="Times New Roman"/>
          <w:sz w:val="28"/>
          <w:szCs w:val="28"/>
        </w:rPr>
        <w:t>1号）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山东省住房和城乡建设厅关于公布2016年山东省人居环境范例项目评价结果的通报</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2017年中央财政林业科技推广示范项目合同</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关于邹城市现代林果科技研究院苗木组培中心等工程建设奖补资金的申请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邹城市林业局关于创建邹城市标准化科技示范果园的通知（邹林字</w:t>
      </w:r>
      <w:r>
        <w:rPr>
          <w:rStyle w:val="21"/>
          <w:rFonts w:hint="eastAsia" w:ascii="Times New Roman" w:hAnsi="Times New Roman" w:eastAsia="华文宋体" w:cs="Times New Roman"/>
          <w:sz w:val="28"/>
          <w:szCs w:val="28"/>
          <w:lang w:eastAsia="zh-CN"/>
        </w:rPr>
        <w:t>﹝2016﹞</w:t>
      </w:r>
      <w:r>
        <w:rPr>
          <w:rStyle w:val="21"/>
          <w:rFonts w:hint="default" w:ascii="Times New Roman" w:hAnsi="Times New Roman" w:eastAsia="华文宋体" w:cs="Times New Roman"/>
          <w:sz w:val="28"/>
          <w:szCs w:val="28"/>
        </w:rPr>
        <w:t>8号）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邹城市林业局关于对邹城市现代林果科技研究院示范基地进行科技承包的请示</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邹城市林业局关于上报2016年市级绿色生态屏障建一设资金项口实施方案的报告（邹林字</w:t>
      </w:r>
      <w:r>
        <w:rPr>
          <w:rStyle w:val="21"/>
          <w:rFonts w:hint="eastAsia" w:ascii="Times New Roman" w:hAnsi="Times New Roman" w:eastAsia="华文宋体" w:cs="Times New Roman"/>
          <w:sz w:val="28"/>
          <w:szCs w:val="28"/>
          <w:lang w:eastAsia="zh-CN"/>
        </w:rPr>
        <w:t>﹝2016﹞</w:t>
      </w:r>
      <w:r>
        <w:rPr>
          <w:rStyle w:val="21"/>
          <w:rFonts w:hint="default" w:ascii="Times New Roman" w:hAnsi="Times New Roman" w:eastAsia="华文宋体" w:cs="Times New Roman"/>
          <w:sz w:val="28"/>
          <w:szCs w:val="28"/>
        </w:rPr>
        <w:t>34号）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邹城市林业局关于对邹城市现代林果科技研究院示范基地进行科技承包的情况说明</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2015年邹城市林业技术推广站工作制度</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中共邹城市委关于创建国家森林城市加快生态美丽邹城建设的意见（邹发</w:t>
      </w:r>
      <w:r>
        <w:rPr>
          <w:rStyle w:val="21"/>
          <w:rFonts w:hint="eastAsia" w:ascii="Times New Roman" w:hAnsi="Times New Roman" w:eastAsia="华文宋体" w:cs="Times New Roman"/>
          <w:sz w:val="28"/>
          <w:szCs w:val="28"/>
          <w:lang w:eastAsia="zh-CN"/>
        </w:rPr>
        <w:t>﹝2016﹞</w:t>
      </w:r>
      <w:r>
        <w:rPr>
          <w:rStyle w:val="21"/>
          <w:rFonts w:hint="default" w:ascii="Times New Roman" w:hAnsi="Times New Roman" w:eastAsia="华文宋体" w:cs="Times New Roman"/>
          <w:sz w:val="28"/>
          <w:szCs w:val="28"/>
        </w:rPr>
        <w:t>5号）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科学技术部中国农村技术开发中心关于开展科技特派员网络认证和注册工作的通知</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邹城市现代林业技术专业学历教育班招生简章</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关于共同设立山东省农业科学院果树博士科研工作站的协议书</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邹城市林业局专业技术职务聘任工作实施方案（邹林字</w:t>
      </w:r>
      <w:r>
        <w:rPr>
          <w:rStyle w:val="21"/>
          <w:rFonts w:hint="eastAsia" w:ascii="Times New Roman" w:hAnsi="Times New Roman" w:eastAsia="华文宋体" w:cs="Times New Roman"/>
          <w:sz w:val="28"/>
          <w:szCs w:val="28"/>
          <w:lang w:eastAsia="zh-CN"/>
        </w:rPr>
        <w:t>﹝2017﹞</w:t>
      </w:r>
      <w:r>
        <w:rPr>
          <w:rStyle w:val="21"/>
          <w:rFonts w:hint="default" w:ascii="Times New Roman" w:hAnsi="Times New Roman" w:eastAsia="华文宋体" w:cs="Times New Roman"/>
          <w:sz w:val="28"/>
          <w:szCs w:val="28"/>
        </w:rPr>
        <w:t>8号）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邹城市林业局关于推荐山东省林业科技成果奖的报告（邹林呈字</w:t>
      </w:r>
      <w:r>
        <w:rPr>
          <w:rStyle w:val="21"/>
          <w:rFonts w:hint="eastAsia" w:ascii="Times New Roman" w:hAnsi="Times New Roman" w:eastAsia="华文宋体" w:cs="Times New Roman"/>
          <w:sz w:val="28"/>
          <w:szCs w:val="28"/>
          <w:lang w:eastAsia="zh-CN"/>
        </w:rPr>
        <w:t>﹝2017﹞</w:t>
      </w:r>
      <w:r>
        <w:rPr>
          <w:rStyle w:val="21"/>
          <w:rFonts w:hint="default" w:ascii="Times New Roman" w:hAnsi="Times New Roman" w:eastAsia="华文宋体" w:cs="Times New Roman"/>
          <w:sz w:val="28"/>
          <w:szCs w:val="28"/>
        </w:rPr>
        <w:t>17号）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邹城市现代林果科技研究院示范基地建设经营合同书</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邹城市人民政府关于表彰2015年度科技创新工作先进单位和先进个人的决定（邹财字</w:t>
      </w:r>
      <w:r>
        <w:rPr>
          <w:rStyle w:val="21"/>
          <w:rFonts w:hint="eastAsia" w:ascii="Times New Roman" w:hAnsi="Times New Roman" w:eastAsia="华文宋体" w:cs="Times New Roman"/>
          <w:sz w:val="28"/>
          <w:szCs w:val="28"/>
          <w:lang w:eastAsia="zh-CN"/>
        </w:rPr>
        <w:t>﹝2016﹞</w:t>
      </w:r>
      <w:r>
        <w:rPr>
          <w:rStyle w:val="21"/>
          <w:rFonts w:hint="default" w:ascii="Times New Roman" w:hAnsi="Times New Roman" w:eastAsia="华文宋体" w:cs="Times New Roman"/>
          <w:sz w:val="28"/>
          <w:szCs w:val="28"/>
        </w:rPr>
        <w:t>12号）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山东省林业厅关于在全省推广邹城市退耕还果还林经验的证明</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网站开发合同书</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推进现代林业发展合作框架协议</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邹城市林业局关于成立邹城市林业产业协会的批复（邹林字</w:t>
      </w:r>
      <w:r>
        <w:rPr>
          <w:rStyle w:val="21"/>
          <w:rFonts w:hint="eastAsia" w:ascii="Times New Roman" w:hAnsi="Times New Roman" w:eastAsia="华文宋体" w:cs="Times New Roman"/>
          <w:sz w:val="28"/>
          <w:szCs w:val="28"/>
          <w:lang w:eastAsia="zh-CN"/>
        </w:rPr>
        <w:t>﹝2017﹞</w:t>
      </w:r>
      <w:r>
        <w:rPr>
          <w:rStyle w:val="21"/>
          <w:rFonts w:hint="default" w:ascii="Times New Roman" w:hAnsi="Times New Roman" w:eastAsia="华文宋体" w:cs="Times New Roman"/>
          <w:sz w:val="28"/>
          <w:szCs w:val="28"/>
        </w:rPr>
        <w:t>11号）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邹城市人民政府关于开展“四新”经济试点工作的通知（邹政办发</w:t>
      </w:r>
      <w:r>
        <w:rPr>
          <w:rStyle w:val="21"/>
          <w:rFonts w:hint="eastAsia" w:ascii="Times New Roman" w:hAnsi="Times New Roman" w:eastAsia="华文宋体" w:cs="Times New Roman"/>
          <w:sz w:val="28"/>
          <w:szCs w:val="28"/>
          <w:lang w:eastAsia="zh-CN"/>
        </w:rPr>
        <w:t>﹝2016﹞</w:t>
      </w:r>
      <w:r>
        <w:rPr>
          <w:rStyle w:val="21"/>
          <w:rFonts w:hint="default" w:ascii="Times New Roman" w:hAnsi="Times New Roman" w:eastAsia="华文宋体" w:cs="Times New Roman"/>
          <w:sz w:val="28"/>
          <w:szCs w:val="28"/>
        </w:rPr>
        <w:t>8号）</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邹城市政府采购项目委托代理协议</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邹城省级农业高新技术产业开发区布局图</w:t>
      </w:r>
    </w:p>
    <w:p>
      <w:pPr>
        <w:pStyle w:val="19"/>
        <w:numPr>
          <w:ilvl w:val="2"/>
          <w:numId w:val="38"/>
        </w:numPr>
        <w:spacing w:line="360" w:lineRule="auto"/>
        <w:ind w:firstLine="560"/>
        <w:rPr>
          <w:rStyle w:val="21"/>
          <w:rFonts w:hint="default" w:ascii="Times New Roman" w:hAnsi="Times New Roman" w:eastAsia="华文宋体" w:cs="Times New Roman"/>
          <w:sz w:val="28"/>
          <w:szCs w:val="28"/>
        </w:rPr>
      </w:pPr>
      <w:r>
        <w:rPr>
          <w:rStyle w:val="21"/>
          <w:rFonts w:hint="default" w:ascii="Times New Roman" w:hAnsi="Times New Roman" w:eastAsia="华文宋体" w:cs="Times New Roman"/>
          <w:sz w:val="28"/>
          <w:szCs w:val="28"/>
        </w:rPr>
        <w:t>照片</w:t>
      </w:r>
    </w:p>
    <w:p>
      <w:pPr>
        <w:pStyle w:val="4"/>
      </w:pPr>
      <w:bookmarkStart w:id="53" w:name="_Toc519373578"/>
      <w:r>
        <w:rPr>
          <w:rFonts w:hint="eastAsia"/>
        </w:rPr>
        <w:t xml:space="preserve">5.6 </w:t>
      </w:r>
      <w:r>
        <w:t>生态服务</w:t>
      </w:r>
      <w:bookmarkEnd w:id="53"/>
    </w:p>
    <w:p>
      <w:pPr>
        <w:pStyle w:val="5"/>
        <w:rPr>
          <w:rStyle w:val="21"/>
          <w:rFonts w:hint="default" w:ascii="Times New Roman" w:eastAsia="华文宋体" w:cs="Times New Roman"/>
          <w:color w:val="auto"/>
          <w:kern w:val="0"/>
          <w:sz w:val="28"/>
          <w:szCs w:val="28"/>
        </w:rPr>
      </w:pPr>
      <w:r>
        <w:rPr>
          <w:rStyle w:val="21"/>
          <w:rFonts w:hint="default" w:ascii="Times New Roman" w:eastAsia="华文宋体" w:cs="Times New Roman"/>
          <w:color w:val="auto"/>
          <w:kern w:val="0"/>
          <w:sz w:val="28"/>
          <w:szCs w:val="28"/>
        </w:rPr>
        <w:t>5.6.1 指标要求</w:t>
      </w:r>
    </w:p>
    <w:p>
      <w:pPr>
        <w:pStyle w:val="19"/>
        <w:spacing w:line="360" w:lineRule="auto"/>
        <w:ind w:firstLine="565" w:firstLineChars="202"/>
        <w:jc w:val="left"/>
        <w:rPr>
          <w:rStyle w:val="21"/>
          <w:rFonts w:hint="default" w:ascii="Times New Roman" w:hAnsi="Times New Roman" w:eastAsia="华文宋体" w:cs="Times New Roman"/>
          <w:color w:val="auto"/>
          <w:kern w:val="0"/>
          <w:sz w:val="28"/>
          <w:szCs w:val="28"/>
        </w:rPr>
      </w:pPr>
      <w:r>
        <w:rPr>
          <w:rStyle w:val="21"/>
          <w:rFonts w:hint="default" w:ascii="Times New Roman" w:hAnsi="Times New Roman" w:eastAsia="华文宋体" w:cs="Times New Roman"/>
          <w:color w:val="auto"/>
          <w:kern w:val="0"/>
          <w:sz w:val="28"/>
          <w:szCs w:val="28"/>
        </w:rPr>
        <w:t>财政投资建设的森林公园、湿地公园以及各类城市公园、绿地原则上都应免费向公众开发，最大限度地让公众享受森林城市建设成果。</w:t>
      </w:r>
    </w:p>
    <w:p>
      <w:pPr>
        <w:pStyle w:val="5"/>
        <w:rPr>
          <w:rStyle w:val="21"/>
          <w:rFonts w:hint="default" w:ascii="Times New Roman" w:eastAsia="华文宋体" w:cs="Times New Roman"/>
          <w:color w:val="auto"/>
          <w:kern w:val="0"/>
          <w:sz w:val="28"/>
          <w:szCs w:val="28"/>
        </w:rPr>
      </w:pPr>
      <w:r>
        <w:rPr>
          <w:rStyle w:val="21"/>
          <w:rFonts w:hint="default" w:ascii="Times New Roman" w:eastAsia="华文宋体" w:cs="Times New Roman"/>
          <w:color w:val="auto"/>
          <w:kern w:val="0"/>
          <w:sz w:val="28"/>
          <w:szCs w:val="28"/>
        </w:rPr>
        <w:t>5.6.2 方法步骤</w:t>
      </w:r>
    </w:p>
    <w:p>
      <w:pPr>
        <w:pStyle w:val="19"/>
        <w:spacing w:line="360" w:lineRule="auto"/>
        <w:ind w:firstLine="0" w:firstLineChars="0"/>
        <w:jc w:val="left"/>
        <w:rPr>
          <w:rStyle w:val="21"/>
          <w:rFonts w:hint="default" w:ascii="Times New Roman" w:hAnsi="Times New Roman" w:eastAsia="华文宋体" w:cs="Times New Roman"/>
          <w:color w:val="auto"/>
          <w:kern w:val="0"/>
          <w:sz w:val="28"/>
          <w:szCs w:val="28"/>
        </w:rPr>
      </w:pPr>
      <w:r>
        <w:rPr>
          <w:rStyle w:val="21"/>
          <w:rFonts w:hint="default" w:ascii="Times New Roman" w:hAnsi="Times New Roman" w:eastAsia="华文宋体" w:cs="Times New Roman"/>
          <w:color w:val="auto"/>
          <w:kern w:val="0"/>
          <w:sz w:val="28"/>
          <w:szCs w:val="28"/>
        </w:rPr>
        <w:t xml:space="preserve">     统计资料与结合实地走访。</w:t>
      </w:r>
    </w:p>
    <w:p>
      <w:pPr>
        <w:pStyle w:val="5"/>
        <w:rPr>
          <w:rStyle w:val="21"/>
          <w:rFonts w:hint="default" w:ascii="Times New Roman" w:eastAsia="华文宋体" w:cs="Times New Roman"/>
          <w:color w:val="auto"/>
          <w:kern w:val="0"/>
          <w:sz w:val="28"/>
          <w:szCs w:val="28"/>
        </w:rPr>
      </w:pPr>
      <w:r>
        <w:rPr>
          <w:rStyle w:val="21"/>
          <w:rFonts w:hint="default" w:ascii="Times New Roman" w:eastAsia="华文宋体" w:cs="Times New Roman"/>
          <w:color w:val="auto"/>
          <w:kern w:val="0"/>
          <w:sz w:val="28"/>
          <w:szCs w:val="28"/>
        </w:rPr>
        <w:t>5.6.3 自查结果</w:t>
      </w:r>
    </w:p>
    <w:p>
      <w:pPr>
        <w:spacing w:line="360" w:lineRule="auto"/>
        <w:ind w:firstLine="560" w:firstLineChars="200"/>
        <w:rPr>
          <w:rStyle w:val="21"/>
          <w:rFonts w:hint="default" w:ascii="Times New Roman" w:hAnsi="Times New Roman" w:eastAsia="华文宋体" w:cs="Times New Roman"/>
          <w:color w:val="auto"/>
          <w:sz w:val="28"/>
          <w:szCs w:val="28"/>
        </w:rPr>
      </w:pPr>
      <w:r>
        <w:rPr>
          <w:rStyle w:val="21"/>
          <w:rFonts w:hint="default" w:ascii="Times New Roman" w:hAnsi="Times New Roman" w:eastAsia="华文宋体" w:cs="Times New Roman"/>
          <w:color w:val="auto"/>
          <w:sz w:val="28"/>
          <w:szCs w:val="28"/>
        </w:rPr>
        <w:t>达标。创森期间，邹城市政府最大限度地利用现有的生态资源，让市民充分享受生态环境建设的成果。太平国家湿地公园、香城省级湿地公园、北宿省级湿地公园等7个市级以上湿地公园；山东峄山国家森林公园、邹城市梨杭省级森林公园、邹城市凤凰山省级森林公园等6个市级以上森林公园；铁山公园、护驾山公园、铁西公园、唐王河公园、体育公园等城区公园均免费向市民开放。在城市绿化建设过程中，邹城市大力加强城市绿道、街心游园建设，为广大市民提供了绿色环保生态的健身休闲场所，城市森林人人建，创建成果人人享，最大限度地让公众享受森林城市建设成果。</w:t>
      </w:r>
    </w:p>
    <w:p>
      <w:pPr>
        <w:pStyle w:val="5"/>
        <w:rPr>
          <w:rStyle w:val="21"/>
          <w:rFonts w:hint="default" w:ascii="Times New Roman" w:eastAsia="华文宋体" w:cs="Times New Roman"/>
          <w:color w:val="auto"/>
          <w:sz w:val="28"/>
          <w:szCs w:val="28"/>
          <w:highlight w:val="red"/>
        </w:rPr>
      </w:pPr>
      <w:r>
        <w:rPr>
          <w:rStyle w:val="21"/>
          <w:rFonts w:hint="default" w:ascii="Times New Roman" w:eastAsia="华文宋体" w:cs="Times New Roman"/>
          <w:color w:val="auto"/>
          <w:sz w:val="28"/>
          <w:szCs w:val="28"/>
        </w:rPr>
        <w:t>5.6.4 支撑材料</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邹城市湿地公园免费开放情况统计表</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邹城市森林公园免费开放情况情况一览表</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邹城市城区免费公园统计表</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邹城凤凰山省级森林公园简介</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邹城凫山森林公园简介</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邹城梨杭省级森林公园简介</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邹城市狼舞山森林公园简介</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邹城市连青山森林公园简介</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山东峄山国家森林公园简介</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邹城市水功能区及水环境水质监测状况通报</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邹城市乡村旅游点汇总表</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山东邹城太平国家湿地公园生物多样性调查报告</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全国森林旅游示范县申报书</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2017年森林旅游工作总结</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2016年邹城市林业局关于全国森林旅游工作开展情况的总结</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2018年乡村旅游汇总表</w:t>
      </w:r>
    </w:p>
    <w:p>
      <w:pPr>
        <w:pStyle w:val="19"/>
        <w:numPr>
          <w:ilvl w:val="0"/>
          <w:numId w:val="39"/>
        </w:numPr>
        <w:tabs>
          <w:tab w:val="left" w:pos="2511"/>
        </w:tabs>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森林公园、湿地公园图片</w:t>
      </w:r>
    </w:p>
    <w:p>
      <w:pPr>
        <w:pStyle w:val="4"/>
      </w:pPr>
      <w:bookmarkStart w:id="54" w:name="_Toc519373579"/>
      <w:r>
        <w:rPr>
          <w:rFonts w:hint="eastAsia"/>
        </w:rPr>
        <w:t xml:space="preserve">5.7 </w:t>
      </w:r>
      <w:r>
        <w:t>森林资源和生态功能监测</w:t>
      </w:r>
      <w:bookmarkEnd w:id="54"/>
    </w:p>
    <w:p>
      <w:pPr>
        <w:pStyle w:val="5"/>
        <w:rPr>
          <w:rStyle w:val="20"/>
          <w:rFonts w:ascii="Times New Roman" w:hAnsi="Times New Roman" w:cs="Times New Roman"/>
          <w:color w:val="auto"/>
          <w:sz w:val="28"/>
          <w:szCs w:val="28"/>
        </w:rPr>
      </w:pPr>
      <w:r>
        <w:rPr>
          <w:rStyle w:val="20"/>
          <w:rFonts w:hint="eastAsia" w:ascii="Times New Roman" w:hAnsi="Times New Roman" w:cs="Times New Roman"/>
          <w:color w:val="auto"/>
          <w:sz w:val="28"/>
          <w:szCs w:val="28"/>
        </w:rPr>
        <w:t xml:space="preserve">5.7.1 </w:t>
      </w:r>
      <w:r>
        <w:rPr>
          <w:rStyle w:val="20"/>
          <w:rFonts w:ascii="Times New Roman" w:hAnsi="Times New Roman" w:cs="Times New Roman"/>
          <w:color w:val="auto"/>
          <w:sz w:val="28"/>
          <w:szCs w:val="28"/>
        </w:rPr>
        <w:t>指标要求</w:t>
      </w:r>
    </w:p>
    <w:p>
      <w:pPr>
        <w:pStyle w:val="19"/>
        <w:spacing w:line="360" w:lineRule="auto"/>
        <w:ind w:firstLine="565" w:firstLineChars="202"/>
        <w:rPr>
          <w:rStyle w:val="20"/>
          <w:rFonts w:ascii="Times New Roman" w:hAnsi="Times New Roman" w:eastAsia="华文宋体" w:cs="Times New Roman"/>
          <w:color w:val="auto"/>
          <w:kern w:val="0"/>
          <w:sz w:val="28"/>
          <w:szCs w:val="28"/>
        </w:rPr>
      </w:pPr>
      <w:r>
        <w:rPr>
          <w:rStyle w:val="20"/>
          <w:rFonts w:ascii="Times New Roman" w:hAnsi="Times New Roman" w:eastAsia="华文宋体" w:cs="Times New Roman"/>
          <w:color w:val="auto"/>
          <w:kern w:val="0"/>
          <w:sz w:val="28"/>
          <w:szCs w:val="28"/>
        </w:rPr>
        <w:t>开展城市森林资源和生态功能监测，掌握森林资源的变化动态，核算城市森林的生态功能效益，为建设和发展城市森林提供科学依据。</w:t>
      </w:r>
    </w:p>
    <w:p>
      <w:pPr>
        <w:pStyle w:val="5"/>
        <w:rPr>
          <w:rStyle w:val="20"/>
          <w:rFonts w:ascii="Times New Roman" w:hAnsi="Times New Roman" w:cs="Times New Roman"/>
          <w:color w:val="auto"/>
          <w:sz w:val="28"/>
          <w:szCs w:val="28"/>
        </w:rPr>
      </w:pPr>
      <w:r>
        <w:rPr>
          <w:rStyle w:val="20"/>
          <w:rFonts w:hint="eastAsia" w:ascii="Times New Roman" w:hAnsi="Times New Roman" w:cs="Times New Roman"/>
          <w:color w:val="auto"/>
          <w:sz w:val="28"/>
          <w:szCs w:val="28"/>
        </w:rPr>
        <w:t xml:space="preserve">5.7.2 </w:t>
      </w:r>
      <w:r>
        <w:rPr>
          <w:rStyle w:val="20"/>
          <w:rFonts w:ascii="Times New Roman" w:hAnsi="Times New Roman" w:cs="Times New Roman"/>
          <w:color w:val="auto"/>
          <w:sz w:val="28"/>
          <w:szCs w:val="28"/>
        </w:rPr>
        <w:t>方法步骤</w:t>
      </w:r>
    </w:p>
    <w:p>
      <w:pPr>
        <w:pStyle w:val="19"/>
        <w:spacing w:line="360" w:lineRule="auto"/>
        <w:ind w:firstLine="560"/>
        <w:rPr>
          <w:rStyle w:val="20"/>
          <w:rFonts w:ascii="Times New Roman" w:hAnsi="Times New Roman" w:eastAsia="华文宋体" w:cs="Times New Roman"/>
          <w:color w:val="auto"/>
          <w:kern w:val="0"/>
          <w:sz w:val="28"/>
          <w:szCs w:val="28"/>
        </w:rPr>
      </w:pPr>
      <w:r>
        <w:rPr>
          <w:rStyle w:val="20"/>
          <w:rFonts w:ascii="Times New Roman" w:hAnsi="Times New Roman" w:eastAsia="华文宋体" w:cs="Times New Roman"/>
          <w:color w:val="auto"/>
          <w:kern w:val="0"/>
          <w:sz w:val="28"/>
          <w:szCs w:val="28"/>
        </w:rPr>
        <w:t>实地查看，查阅资料，进行测算城市森林生态、经济、文化和社会效益评估。</w:t>
      </w:r>
    </w:p>
    <w:p>
      <w:pPr>
        <w:pStyle w:val="5"/>
        <w:rPr>
          <w:rStyle w:val="20"/>
          <w:rFonts w:ascii="Times New Roman" w:hAnsi="Times New Roman" w:cs="Times New Roman"/>
          <w:color w:val="auto"/>
          <w:sz w:val="28"/>
          <w:szCs w:val="28"/>
        </w:rPr>
      </w:pPr>
      <w:r>
        <w:rPr>
          <w:rStyle w:val="20"/>
          <w:rFonts w:hint="eastAsia" w:ascii="Times New Roman" w:hAnsi="Times New Roman" w:cs="Times New Roman"/>
          <w:color w:val="auto"/>
          <w:sz w:val="28"/>
          <w:szCs w:val="28"/>
        </w:rPr>
        <w:t xml:space="preserve">5.7.3 </w:t>
      </w:r>
      <w:r>
        <w:rPr>
          <w:rStyle w:val="20"/>
          <w:rFonts w:ascii="Times New Roman" w:hAnsi="Times New Roman" w:cs="Times New Roman"/>
          <w:color w:val="auto"/>
          <w:sz w:val="28"/>
          <w:szCs w:val="28"/>
        </w:rPr>
        <w:t>自查结果</w:t>
      </w:r>
    </w:p>
    <w:p>
      <w:pPr>
        <w:autoSpaceDE w:val="0"/>
        <w:autoSpaceDN w:val="0"/>
        <w:spacing w:line="360" w:lineRule="auto"/>
        <w:ind w:firstLine="560" w:firstLineChars="200"/>
        <w:rPr>
          <w:rStyle w:val="20"/>
          <w:rFonts w:ascii="Times New Roman" w:hAnsi="Times New Roman" w:eastAsia="华文宋体" w:cs="Times New Roman"/>
          <w:color w:val="auto"/>
          <w:sz w:val="28"/>
          <w:szCs w:val="28"/>
        </w:rPr>
      </w:pPr>
      <w:r>
        <w:rPr>
          <w:rStyle w:val="20"/>
          <w:rFonts w:ascii="Times New Roman" w:hAnsi="Times New Roman" w:eastAsia="华文宋体" w:cs="Times New Roman"/>
          <w:color w:val="auto"/>
          <w:sz w:val="28"/>
          <w:szCs w:val="28"/>
        </w:rPr>
        <w:t>达标。邹城市建立了森林资源管理体系和森林资源监测体系，2017年完成了林地变更调查、林地卫片判读工作，建立全市林地“一张图”。开展了第九次森林资源清查工作，完成调查样地105个，掌握了森林资源的变化动态。邹城市及时进行森林资源建档更新，开展了邹城市森林资源综合功能动态评价，对邹城森林的生态功能 、社会功能、文化功能和经济功能进行综合评价。</w:t>
      </w:r>
    </w:p>
    <w:p>
      <w:pPr>
        <w:pStyle w:val="5"/>
        <w:rPr>
          <w:rStyle w:val="20"/>
          <w:rFonts w:ascii="Times New Roman" w:hAnsi="Times New Roman" w:cs="Times New Roman"/>
          <w:color w:val="auto"/>
          <w:sz w:val="28"/>
          <w:szCs w:val="28"/>
        </w:rPr>
      </w:pPr>
      <w:r>
        <w:rPr>
          <w:rStyle w:val="20"/>
          <w:rFonts w:hint="eastAsia" w:ascii="Times New Roman" w:hAnsi="Times New Roman" w:cs="Times New Roman"/>
          <w:color w:val="auto"/>
          <w:sz w:val="28"/>
          <w:szCs w:val="28"/>
        </w:rPr>
        <w:t xml:space="preserve">5.7.4 </w:t>
      </w:r>
      <w:r>
        <w:rPr>
          <w:rStyle w:val="20"/>
          <w:rFonts w:ascii="Times New Roman" w:hAnsi="Times New Roman" w:cs="Times New Roman"/>
          <w:color w:val="auto"/>
          <w:sz w:val="28"/>
          <w:szCs w:val="28"/>
        </w:rPr>
        <w:t>支撑材料</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邹城市2015-2017年森林资源动态数据表</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2017林业统计年报</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2016林业统计年报</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邹城市林业局2016年关于加快林地变更调查的通知</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邹城市人民政府关于加强林地湿地保护管理工作的意见（邹政办发</w:t>
      </w:r>
      <w:r>
        <w:rPr>
          <w:rStyle w:val="20"/>
          <w:rFonts w:hint="eastAsia" w:ascii="Times New Roman" w:hAnsi="Times New Roman" w:eastAsia="华文宋体" w:cs="Times New Roman"/>
          <w:color w:val="auto"/>
          <w:sz w:val="28"/>
          <w:szCs w:val="28"/>
          <w:lang w:eastAsia="zh-CN"/>
        </w:rPr>
        <w:t>﹝2017﹞</w:t>
      </w:r>
      <w:r>
        <w:rPr>
          <w:rStyle w:val="20"/>
          <w:rFonts w:hint="eastAsia" w:ascii="Times New Roman" w:hAnsi="Times New Roman" w:eastAsia="华文宋体" w:cs="Times New Roman"/>
          <w:color w:val="auto"/>
          <w:sz w:val="28"/>
          <w:szCs w:val="28"/>
        </w:rPr>
        <w:t>1号）</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山东省林业厅关于进一步完善县级林地变更成果的函（鲁林函监规字</w:t>
      </w:r>
      <w:r>
        <w:rPr>
          <w:rStyle w:val="20"/>
          <w:rFonts w:hint="eastAsia" w:ascii="Times New Roman" w:hAnsi="Times New Roman" w:eastAsia="华文宋体" w:cs="Times New Roman"/>
          <w:color w:val="auto"/>
          <w:sz w:val="28"/>
          <w:szCs w:val="28"/>
          <w:lang w:eastAsia="zh-CN"/>
        </w:rPr>
        <w:t>﹝2016﹞</w:t>
      </w:r>
      <w:r>
        <w:rPr>
          <w:rStyle w:val="20"/>
          <w:rFonts w:hint="eastAsia" w:ascii="Times New Roman" w:hAnsi="Times New Roman" w:eastAsia="华文宋体" w:cs="Times New Roman"/>
          <w:color w:val="auto"/>
          <w:sz w:val="28"/>
          <w:szCs w:val="28"/>
        </w:rPr>
        <w:t>11号）</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山东省林业厅关于举办全省森林资源动态监测单机版暨2016年度林地变更调查技术培训班的通知（鲁林办监字</w:t>
      </w:r>
      <w:r>
        <w:rPr>
          <w:rStyle w:val="20"/>
          <w:rFonts w:hint="eastAsia" w:ascii="Times New Roman" w:hAnsi="Times New Roman" w:eastAsia="华文宋体" w:cs="Times New Roman"/>
          <w:color w:val="auto"/>
          <w:sz w:val="28"/>
          <w:szCs w:val="28"/>
          <w:lang w:eastAsia="zh-CN"/>
        </w:rPr>
        <w:t>﹝2016﹞</w:t>
      </w:r>
      <w:r>
        <w:rPr>
          <w:rStyle w:val="20"/>
          <w:rFonts w:hint="eastAsia" w:ascii="Times New Roman" w:hAnsi="Times New Roman" w:eastAsia="华文宋体" w:cs="Times New Roman"/>
          <w:color w:val="auto"/>
          <w:sz w:val="28"/>
          <w:szCs w:val="28"/>
        </w:rPr>
        <w:t>36号）</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山东省林业厅关于推进林地变更调查成果批复实施的通知（鲁林政字</w:t>
      </w:r>
      <w:r>
        <w:rPr>
          <w:rStyle w:val="20"/>
          <w:rFonts w:hint="eastAsia" w:ascii="Times New Roman" w:hAnsi="Times New Roman" w:eastAsia="华文宋体" w:cs="Times New Roman"/>
          <w:color w:val="auto"/>
          <w:sz w:val="28"/>
          <w:szCs w:val="28"/>
          <w:lang w:eastAsia="zh-CN"/>
        </w:rPr>
        <w:t>﹝2016﹞</w:t>
      </w:r>
      <w:r>
        <w:rPr>
          <w:rStyle w:val="20"/>
          <w:rFonts w:hint="eastAsia" w:ascii="Times New Roman" w:hAnsi="Times New Roman" w:eastAsia="华文宋体" w:cs="Times New Roman"/>
          <w:color w:val="auto"/>
          <w:sz w:val="28"/>
          <w:szCs w:val="28"/>
        </w:rPr>
        <w:t>101号）</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邹城市绿化委员会关于印发《2016年全市林业重点工作考核办法》的通知（邹绿发</w:t>
      </w:r>
      <w:r>
        <w:rPr>
          <w:rStyle w:val="20"/>
          <w:rFonts w:hint="eastAsia" w:ascii="Times New Roman" w:hAnsi="Times New Roman" w:eastAsia="华文宋体" w:cs="Times New Roman"/>
          <w:color w:val="auto"/>
          <w:sz w:val="28"/>
          <w:szCs w:val="28"/>
          <w:lang w:eastAsia="zh-CN"/>
        </w:rPr>
        <w:t>﹝2016﹞</w:t>
      </w:r>
      <w:r>
        <w:rPr>
          <w:rStyle w:val="20"/>
          <w:rFonts w:hint="eastAsia" w:ascii="Times New Roman" w:hAnsi="Times New Roman" w:eastAsia="华文宋体" w:cs="Times New Roman"/>
          <w:color w:val="auto"/>
          <w:sz w:val="28"/>
          <w:szCs w:val="28"/>
        </w:rPr>
        <w:t>5号）</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济宁市林业局关于转发《山东省林业厅关于推进林地变更调查成果批复实施的通知》通知（济林政字</w:t>
      </w:r>
      <w:r>
        <w:rPr>
          <w:rStyle w:val="20"/>
          <w:rFonts w:hint="eastAsia" w:ascii="Times New Roman" w:hAnsi="Times New Roman" w:eastAsia="华文宋体" w:cs="Times New Roman"/>
          <w:color w:val="auto"/>
          <w:sz w:val="28"/>
          <w:szCs w:val="28"/>
          <w:lang w:eastAsia="zh-CN"/>
        </w:rPr>
        <w:t>﹝2016﹞</w:t>
      </w:r>
      <w:r>
        <w:rPr>
          <w:rStyle w:val="20"/>
          <w:rFonts w:hint="eastAsia" w:ascii="Times New Roman" w:hAnsi="Times New Roman" w:eastAsia="华文宋体" w:cs="Times New Roman"/>
          <w:color w:val="auto"/>
          <w:sz w:val="28"/>
          <w:szCs w:val="28"/>
        </w:rPr>
        <w:t>5号）</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邹城市第九次森林资源清查工作进展情况</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邹城市林业局关于加快林地变更调查的通知</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邹城市绿化委员会关于印发邹城市国家级公益林落界工作方案的通知（邹绿发</w:t>
      </w:r>
      <w:r>
        <w:rPr>
          <w:rStyle w:val="20"/>
          <w:rFonts w:hint="eastAsia" w:ascii="Times New Roman" w:hAnsi="Times New Roman" w:eastAsia="华文宋体" w:cs="Times New Roman"/>
          <w:color w:val="auto"/>
          <w:sz w:val="28"/>
          <w:szCs w:val="28"/>
          <w:lang w:eastAsia="zh-CN"/>
        </w:rPr>
        <w:t>﹝2017﹞</w:t>
      </w:r>
      <w:r>
        <w:rPr>
          <w:rStyle w:val="20"/>
          <w:rFonts w:hint="eastAsia" w:ascii="Times New Roman" w:hAnsi="Times New Roman" w:eastAsia="华文宋体" w:cs="Times New Roman"/>
          <w:color w:val="auto"/>
          <w:sz w:val="28"/>
          <w:szCs w:val="28"/>
        </w:rPr>
        <w:t>16号）</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济宁市林业局关于转发《山东省林业厅关于开展林地变更调查省级检查的通知》的通知（济林政字</w:t>
      </w:r>
      <w:r>
        <w:rPr>
          <w:rStyle w:val="20"/>
          <w:rFonts w:hint="eastAsia" w:ascii="Times New Roman" w:hAnsi="Times New Roman" w:eastAsia="华文宋体" w:cs="Times New Roman"/>
          <w:color w:val="auto"/>
          <w:sz w:val="28"/>
          <w:szCs w:val="28"/>
          <w:lang w:eastAsia="zh-CN"/>
        </w:rPr>
        <w:t>﹝2015﹞</w:t>
      </w:r>
      <w:r>
        <w:rPr>
          <w:rStyle w:val="20"/>
          <w:rFonts w:hint="eastAsia" w:ascii="Times New Roman" w:hAnsi="Times New Roman" w:eastAsia="华文宋体" w:cs="Times New Roman"/>
          <w:color w:val="auto"/>
          <w:sz w:val="28"/>
          <w:szCs w:val="28"/>
        </w:rPr>
        <w:t>11号）</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山东省森林资源条例</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森林防火能力建设规划与实施情况统计表</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2016-2018年济宁市新建林火远程监控点情况统计表</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邹城市森林公安局关于邹城市无重大森林案件的证明</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第九次森林资源清查领导讲话和培训资料</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森林资源保护宣传手册</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邹城市林业有害生物测报站点统计表</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邹城市有害生物防控基础设施基本情况表</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山东省林木种质资源调查成果汇总表</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邹城市林业局关于对有关项目使用林地审查意见的报告（邹林呈字</w:t>
      </w:r>
      <w:r>
        <w:rPr>
          <w:rStyle w:val="20"/>
          <w:rFonts w:hint="eastAsia" w:ascii="Times New Roman" w:hAnsi="Times New Roman" w:eastAsia="华文宋体" w:cs="Times New Roman"/>
          <w:color w:val="auto"/>
          <w:sz w:val="28"/>
          <w:szCs w:val="28"/>
          <w:lang w:eastAsia="zh-CN"/>
        </w:rPr>
        <w:t>﹝2017﹞</w:t>
      </w:r>
      <w:r>
        <w:rPr>
          <w:rStyle w:val="20"/>
          <w:rFonts w:hint="eastAsia" w:ascii="Times New Roman" w:hAnsi="Times New Roman" w:eastAsia="华文宋体" w:cs="Times New Roman"/>
          <w:color w:val="auto"/>
          <w:sz w:val="28"/>
          <w:szCs w:val="28"/>
        </w:rPr>
        <w:t>10号）</w:t>
      </w:r>
    </w:p>
    <w:p>
      <w:pPr>
        <w:pStyle w:val="19"/>
        <w:numPr>
          <w:ilvl w:val="0"/>
          <w:numId w:val="40"/>
        </w:numPr>
        <w:tabs>
          <w:tab w:val="left" w:pos="2511"/>
        </w:tabs>
        <w:spacing w:line="360" w:lineRule="auto"/>
        <w:ind w:firstLine="560"/>
        <w:rPr>
          <w:rStyle w:val="20"/>
          <w:rFonts w:ascii="Times New Roman" w:hAnsi="Times New Roman" w:eastAsia="华文宋体" w:cs="Times New Roman"/>
          <w:color w:val="auto"/>
          <w:sz w:val="28"/>
          <w:szCs w:val="28"/>
        </w:rPr>
      </w:pPr>
      <w:r>
        <w:rPr>
          <w:rStyle w:val="20"/>
          <w:rFonts w:hint="eastAsia" w:ascii="Times New Roman" w:hAnsi="Times New Roman" w:eastAsia="华文宋体" w:cs="Times New Roman"/>
          <w:color w:val="auto"/>
          <w:sz w:val="28"/>
          <w:szCs w:val="28"/>
        </w:rPr>
        <w:t>照片</w:t>
      </w:r>
    </w:p>
    <w:p>
      <w:pPr>
        <w:pStyle w:val="4"/>
      </w:pPr>
      <w:bookmarkStart w:id="55" w:name="_Toc519373580"/>
      <w:r>
        <w:rPr>
          <w:rFonts w:hint="eastAsia"/>
        </w:rPr>
        <w:t xml:space="preserve">5.8 </w:t>
      </w:r>
      <w:r>
        <w:t>档案管理</w:t>
      </w:r>
      <w:bookmarkEnd w:id="55"/>
    </w:p>
    <w:p>
      <w:pPr>
        <w:pStyle w:val="5"/>
        <w:rPr>
          <w:rStyle w:val="20"/>
          <w:rFonts w:ascii="Times New Roman" w:hAnsi="Times New Roman" w:cs="Times New Roman"/>
          <w:color w:val="auto"/>
          <w:kern w:val="0"/>
          <w:sz w:val="28"/>
          <w:szCs w:val="28"/>
        </w:rPr>
      </w:pPr>
      <w:r>
        <w:rPr>
          <w:rStyle w:val="20"/>
          <w:rFonts w:hint="eastAsia" w:ascii="Times New Roman" w:hAnsi="Times New Roman" w:cs="Times New Roman"/>
          <w:color w:val="auto"/>
          <w:kern w:val="0"/>
          <w:sz w:val="28"/>
          <w:szCs w:val="28"/>
        </w:rPr>
        <w:t xml:space="preserve">5.8.1 </w:t>
      </w:r>
      <w:r>
        <w:rPr>
          <w:rStyle w:val="20"/>
          <w:rFonts w:ascii="Times New Roman" w:hAnsi="Times New Roman" w:cs="Times New Roman"/>
          <w:color w:val="auto"/>
          <w:kern w:val="0"/>
          <w:sz w:val="28"/>
          <w:szCs w:val="28"/>
        </w:rPr>
        <w:t>指标要求</w:t>
      </w:r>
    </w:p>
    <w:p>
      <w:pPr>
        <w:pStyle w:val="19"/>
        <w:spacing w:line="360" w:lineRule="auto"/>
        <w:ind w:firstLine="560"/>
        <w:jc w:val="left"/>
        <w:rPr>
          <w:rStyle w:val="20"/>
          <w:rFonts w:ascii="Times New Roman" w:hAnsi="Times New Roman" w:eastAsia="华文宋体" w:cs="Times New Roman"/>
          <w:color w:val="auto"/>
          <w:kern w:val="0"/>
          <w:sz w:val="28"/>
          <w:szCs w:val="28"/>
        </w:rPr>
      </w:pPr>
      <w:r>
        <w:rPr>
          <w:rStyle w:val="20"/>
          <w:rFonts w:ascii="Times New Roman" w:hAnsi="Times New Roman" w:eastAsia="华文宋体" w:cs="Times New Roman"/>
          <w:color w:val="auto"/>
          <w:kern w:val="0"/>
          <w:sz w:val="28"/>
          <w:szCs w:val="28"/>
        </w:rPr>
        <w:t>城市森林资源管理档案完整、规范，相关技术图件齐备，实现科学化、信息化管理。</w:t>
      </w:r>
    </w:p>
    <w:p>
      <w:pPr>
        <w:pStyle w:val="5"/>
        <w:rPr>
          <w:rStyle w:val="20"/>
          <w:rFonts w:ascii="Times New Roman" w:hAnsi="Times New Roman" w:cs="Times New Roman"/>
          <w:bCs w:val="0"/>
          <w:color w:val="auto"/>
          <w:kern w:val="0"/>
          <w:sz w:val="28"/>
          <w:szCs w:val="28"/>
        </w:rPr>
      </w:pPr>
      <w:r>
        <w:rPr>
          <w:rStyle w:val="20"/>
          <w:rFonts w:hint="eastAsia" w:ascii="Times New Roman" w:hAnsi="Times New Roman" w:cs="Times New Roman"/>
          <w:bCs w:val="0"/>
          <w:color w:val="auto"/>
          <w:kern w:val="0"/>
          <w:sz w:val="28"/>
          <w:szCs w:val="28"/>
        </w:rPr>
        <w:t xml:space="preserve">5.8.2 </w:t>
      </w:r>
      <w:r>
        <w:rPr>
          <w:rStyle w:val="20"/>
          <w:rFonts w:ascii="Times New Roman" w:hAnsi="Times New Roman" w:cs="Times New Roman"/>
          <w:bCs w:val="0"/>
          <w:color w:val="auto"/>
          <w:kern w:val="0"/>
          <w:sz w:val="28"/>
          <w:szCs w:val="28"/>
        </w:rPr>
        <w:t>方法步骤</w:t>
      </w:r>
    </w:p>
    <w:p>
      <w:pPr>
        <w:pStyle w:val="19"/>
        <w:spacing w:line="360" w:lineRule="auto"/>
        <w:ind w:firstLine="560"/>
        <w:jc w:val="left"/>
        <w:rPr>
          <w:rStyle w:val="20"/>
          <w:rFonts w:ascii="Times New Roman" w:hAnsi="Times New Roman" w:eastAsia="华文宋体" w:cs="Times New Roman"/>
          <w:color w:val="auto"/>
          <w:kern w:val="0"/>
          <w:sz w:val="28"/>
          <w:szCs w:val="28"/>
        </w:rPr>
      </w:pPr>
      <w:r>
        <w:rPr>
          <w:rStyle w:val="20"/>
          <w:rFonts w:ascii="Times New Roman" w:hAnsi="Times New Roman" w:eastAsia="华文宋体" w:cs="Times New Roman"/>
          <w:color w:val="auto"/>
          <w:kern w:val="0"/>
          <w:sz w:val="28"/>
          <w:szCs w:val="28"/>
        </w:rPr>
        <w:t>对相关的政府文件、相关部门的规划、实施方案资源数据资料进行收集与整理。</w:t>
      </w:r>
    </w:p>
    <w:p>
      <w:pPr>
        <w:pStyle w:val="5"/>
        <w:rPr>
          <w:rStyle w:val="20"/>
          <w:rFonts w:ascii="Times New Roman" w:hAnsi="Times New Roman" w:cs="Times New Roman"/>
          <w:color w:val="auto"/>
          <w:kern w:val="0"/>
          <w:sz w:val="28"/>
          <w:szCs w:val="28"/>
        </w:rPr>
      </w:pPr>
      <w:r>
        <w:rPr>
          <w:rStyle w:val="20"/>
          <w:rFonts w:hint="eastAsia" w:ascii="Times New Roman" w:hAnsi="Times New Roman" w:cs="Times New Roman"/>
          <w:color w:val="auto"/>
          <w:kern w:val="0"/>
          <w:sz w:val="28"/>
          <w:szCs w:val="28"/>
        </w:rPr>
        <w:t xml:space="preserve">5.8.3 </w:t>
      </w:r>
      <w:r>
        <w:rPr>
          <w:rStyle w:val="20"/>
          <w:rFonts w:ascii="Times New Roman" w:hAnsi="Times New Roman" w:cs="Times New Roman"/>
          <w:color w:val="auto"/>
          <w:kern w:val="0"/>
          <w:sz w:val="28"/>
          <w:szCs w:val="28"/>
        </w:rPr>
        <w:t>自查结果</w:t>
      </w:r>
    </w:p>
    <w:p>
      <w:pPr>
        <w:pStyle w:val="19"/>
        <w:spacing w:line="360" w:lineRule="auto"/>
        <w:ind w:firstLine="560"/>
        <w:jc w:val="left"/>
        <w:rPr>
          <w:rStyle w:val="20"/>
          <w:rFonts w:ascii="Times New Roman" w:hAnsi="Times New Roman" w:eastAsia="华文宋体" w:cs="Times New Roman"/>
          <w:color w:val="auto"/>
          <w:kern w:val="0"/>
          <w:sz w:val="28"/>
          <w:szCs w:val="28"/>
        </w:rPr>
      </w:pPr>
      <w:r>
        <w:rPr>
          <w:rStyle w:val="20"/>
          <w:rFonts w:ascii="Times New Roman" w:hAnsi="Times New Roman" w:eastAsia="华文宋体" w:cs="Times New Roman"/>
          <w:color w:val="auto"/>
          <w:kern w:val="0"/>
          <w:sz w:val="28"/>
          <w:szCs w:val="28"/>
        </w:rPr>
        <w:t>达标。创森以来，全市进一步加强森林城市建设档案的标准化、规范化管理，在完善制度、强化培训、提升硬件的基础上，建立了专门的城市森林创建和森林资源管理资料档案室。对开展创森活动以来形成的各种文字材料分门别类进行整理和归档，相关资料收集完整，全面真实地反映了邹城市森林城市的创建过程和创建成果。</w:t>
      </w:r>
    </w:p>
    <w:p>
      <w:pPr>
        <w:pStyle w:val="5"/>
        <w:rPr>
          <w:rStyle w:val="20"/>
          <w:rFonts w:ascii="Times New Roman" w:hAnsi="Times New Roman" w:cs="Times New Roman"/>
          <w:color w:val="auto"/>
          <w:kern w:val="0"/>
          <w:sz w:val="28"/>
          <w:szCs w:val="28"/>
        </w:rPr>
      </w:pPr>
      <w:r>
        <w:rPr>
          <w:rStyle w:val="20"/>
          <w:rFonts w:hint="eastAsia" w:ascii="Times New Roman" w:hAnsi="Times New Roman" w:cs="Times New Roman"/>
          <w:color w:val="auto"/>
          <w:kern w:val="0"/>
          <w:sz w:val="28"/>
          <w:szCs w:val="28"/>
        </w:rPr>
        <w:t xml:space="preserve">5.8.4 </w:t>
      </w:r>
      <w:r>
        <w:rPr>
          <w:rStyle w:val="20"/>
          <w:rFonts w:ascii="Times New Roman" w:hAnsi="Times New Roman" w:cs="Times New Roman"/>
          <w:color w:val="auto"/>
          <w:kern w:val="0"/>
          <w:sz w:val="28"/>
          <w:szCs w:val="28"/>
        </w:rPr>
        <w:t>支撑材料</w:t>
      </w:r>
    </w:p>
    <w:p>
      <w:pPr>
        <w:pStyle w:val="19"/>
        <w:numPr>
          <w:ilvl w:val="0"/>
          <w:numId w:val="41"/>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邹城市创建国家森林城市工作领导小组关于印发《创建国家森林城市档案立卷建档标准》的通知(邹创办字</w:t>
      </w:r>
      <w:r>
        <w:rPr>
          <w:rFonts w:hint="eastAsia" w:ascii="Times New Roman" w:hAnsi="Times New Roman" w:eastAsia="华文宋体" w:cs="Times New Roman"/>
          <w:sz w:val="28"/>
          <w:szCs w:val="28"/>
          <w:lang w:eastAsia="zh-CN"/>
        </w:rPr>
        <w:t>﹝2016﹞</w:t>
      </w:r>
      <w:r>
        <w:rPr>
          <w:rFonts w:hint="eastAsia" w:ascii="Times New Roman" w:hAnsi="Times New Roman" w:eastAsia="华文宋体" w:cs="Times New Roman"/>
          <w:sz w:val="28"/>
          <w:szCs w:val="28"/>
        </w:rPr>
        <w:t>1号）</w:t>
      </w:r>
    </w:p>
    <w:p>
      <w:pPr>
        <w:pStyle w:val="19"/>
        <w:numPr>
          <w:ilvl w:val="0"/>
          <w:numId w:val="41"/>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邹城市人民政府关于召开全市创建国家森林城市工作推进会议通知</w:t>
      </w:r>
    </w:p>
    <w:p>
      <w:pPr>
        <w:pStyle w:val="19"/>
        <w:numPr>
          <w:ilvl w:val="0"/>
          <w:numId w:val="41"/>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邹城市创建国家森林城市工作领导小组关于印发《邹城市创建国家森林城市宣传工作方案》的通知（邹创森发</w:t>
      </w:r>
      <w:r>
        <w:rPr>
          <w:rFonts w:hint="eastAsia" w:ascii="Times New Roman" w:hAnsi="Times New Roman" w:eastAsia="华文宋体" w:cs="Times New Roman"/>
          <w:sz w:val="28"/>
          <w:szCs w:val="28"/>
          <w:lang w:eastAsia="zh-CN"/>
        </w:rPr>
        <w:t>﹝2018﹞</w:t>
      </w:r>
      <w:r>
        <w:rPr>
          <w:rFonts w:hint="eastAsia" w:ascii="Times New Roman" w:hAnsi="Times New Roman" w:eastAsia="华文宋体" w:cs="Times New Roman"/>
          <w:sz w:val="28"/>
          <w:szCs w:val="28"/>
        </w:rPr>
        <w:t>1号）</w:t>
      </w:r>
    </w:p>
    <w:p>
      <w:pPr>
        <w:pStyle w:val="19"/>
        <w:numPr>
          <w:ilvl w:val="0"/>
          <w:numId w:val="41"/>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关于召开全市创建国家森林城市推进暨林业有害生物防控工作会议的通知</w:t>
      </w:r>
    </w:p>
    <w:p>
      <w:pPr>
        <w:pStyle w:val="19"/>
        <w:numPr>
          <w:ilvl w:val="0"/>
          <w:numId w:val="41"/>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关于印发《全市创建国家森林城市工程项目督查工作方案》的通知</w:t>
      </w:r>
    </w:p>
    <w:p>
      <w:pPr>
        <w:pStyle w:val="19"/>
        <w:numPr>
          <w:ilvl w:val="0"/>
          <w:numId w:val="41"/>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邹城市市委政府督查室关于对全市创森工作开展情况进行专项督查的通知（邹督字</w:t>
      </w:r>
      <w:r>
        <w:rPr>
          <w:rFonts w:hint="eastAsia" w:ascii="Times New Roman" w:hAnsi="Times New Roman" w:eastAsia="华文宋体" w:cs="Times New Roman"/>
          <w:sz w:val="28"/>
          <w:szCs w:val="28"/>
          <w:lang w:eastAsia="zh-CN"/>
        </w:rPr>
        <w:t>﹝2018﹞</w:t>
      </w:r>
      <w:r>
        <w:rPr>
          <w:rFonts w:hint="eastAsia" w:ascii="Times New Roman" w:hAnsi="Times New Roman" w:eastAsia="华文宋体" w:cs="Times New Roman"/>
          <w:sz w:val="28"/>
          <w:szCs w:val="28"/>
        </w:rPr>
        <w:t>13号）</w:t>
      </w:r>
    </w:p>
    <w:p>
      <w:pPr>
        <w:pStyle w:val="19"/>
        <w:numPr>
          <w:ilvl w:val="0"/>
          <w:numId w:val="41"/>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邹城市创建国家森林城市工作领导小组关于印发《邹城市创建国家森林城市档案管理工作实施方案》的通知（邹创森发</w:t>
      </w:r>
      <w:r>
        <w:rPr>
          <w:rFonts w:hint="eastAsia" w:ascii="Times New Roman" w:hAnsi="Times New Roman" w:eastAsia="华文宋体" w:cs="Times New Roman"/>
          <w:sz w:val="28"/>
          <w:szCs w:val="28"/>
          <w:lang w:eastAsia="zh-CN"/>
        </w:rPr>
        <w:t>﹝2018﹞</w:t>
      </w:r>
      <w:r>
        <w:rPr>
          <w:rFonts w:hint="eastAsia" w:ascii="Times New Roman" w:hAnsi="Times New Roman" w:eastAsia="华文宋体" w:cs="Times New Roman"/>
          <w:sz w:val="28"/>
          <w:szCs w:val="28"/>
        </w:rPr>
        <w:t>2号）</w:t>
      </w:r>
    </w:p>
    <w:p>
      <w:pPr>
        <w:pStyle w:val="19"/>
        <w:numPr>
          <w:ilvl w:val="0"/>
          <w:numId w:val="41"/>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邹城市创建国家森林城市工作领导小组关于报送创建国家森城市宣传工作及档案管理工作的通知</w:t>
      </w:r>
    </w:p>
    <w:p>
      <w:pPr>
        <w:pStyle w:val="19"/>
        <w:numPr>
          <w:ilvl w:val="0"/>
          <w:numId w:val="41"/>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邹城市创建国家森林城市工作领导小组关于印发2018年邹城市创建国家森林城市工作实施方案的通知（邹创森发</w:t>
      </w:r>
      <w:r>
        <w:rPr>
          <w:rFonts w:hint="eastAsia" w:ascii="Times New Roman" w:hAnsi="Times New Roman" w:eastAsia="华文宋体" w:cs="Times New Roman"/>
          <w:sz w:val="28"/>
          <w:szCs w:val="28"/>
          <w:lang w:eastAsia="zh-CN"/>
        </w:rPr>
        <w:t>﹝2018﹞</w:t>
      </w:r>
      <w:r>
        <w:rPr>
          <w:rFonts w:hint="eastAsia" w:ascii="Times New Roman" w:hAnsi="Times New Roman" w:eastAsia="华文宋体" w:cs="Times New Roman"/>
          <w:sz w:val="28"/>
          <w:szCs w:val="28"/>
        </w:rPr>
        <w:t>3号）</w:t>
      </w:r>
    </w:p>
    <w:p>
      <w:pPr>
        <w:pStyle w:val="19"/>
        <w:numPr>
          <w:ilvl w:val="0"/>
          <w:numId w:val="41"/>
        </w:numPr>
        <w:spacing w:line="360" w:lineRule="auto"/>
        <w:ind w:firstLine="560"/>
        <w:rPr>
          <w:rFonts w:ascii="Times New Roman" w:hAnsi="Times New Roman" w:eastAsia="华文宋体" w:cs="Times New Roman"/>
          <w:sz w:val="28"/>
          <w:szCs w:val="28"/>
        </w:rPr>
      </w:pPr>
      <w:r>
        <w:rPr>
          <w:rFonts w:hint="eastAsia" w:ascii="Times New Roman" w:hAnsi="Times New Roman" w:eastAsia="华文宋体" w:cs="Times New Roman"/>
          <w:sz w:val="28"/>
          <w:szCs w:val="28"/>
        </w:rPr>
        <w:t>照片</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Cambria Math">
    <w:panose1 w:val="02040503050406030204"/>
    <w:charset w:val="00"/>
    <w:family w:val="roman"/>
    <w:pitch w:val="default"/>
    <w:sig w:usb0="E00002FF" w:usb1="42002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4295795"/>
      <w:docPartObj>
        <w:docPartGallery w:val="autotext"/>
      </w:docPartObj>
    </w:sdtPr>
    <w:sdtContent>
      <w:p>
        <w:pPr>
          <w:pStyle w:val="9"/>
          <w:jc w:val="center"/>
        </w:pPr>
        <w:r>
          <w:fldChar w:fldCharType="begin"/>
        </w:r>
        <w:r>
          <w:instrText xml:space="preserve">PAGE   \* MERGEFORMAT</w:instrText>
        </w:r>
        <w:r>
          <w:fldChar w:fldCharType="separate"/>
        </w:r>
        <w:r>
          <w:rPr>
            <w:lang w:val="zh-CN"/>
          </w:rPr>
          <w:t>1</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64DB1E"/>
    <w:multiLevelType w:val="singleLevel"/>
    <w:tmpl w:val="8F64DB1E"/>
    <w:lvl w:ilvl="0" w:tentative="0">
      <w:start w:val="1"/>
      <w:numFmt w:val="decimal"/>
      <w:suff w:val="nothing"/>
      <w:lvlText w:val="（%1）"/>
      <w:lvlJc w:val="left"/>
      <w:pPr>
        <w:ind w:left="0" w:firstLine="0"/>
      </w:pPr>
      <w:rPr>
        <w:rFonts w:hint="default"/>
      </w:rPr>
    </w:lvl>
  </w:abstractNum>
  <w:abstractNum w:abstractNumId="1">
    <w:nsid w:val="A5CB5D46"/>
    <w:multiLevelType w:val="singleLevel"/>
    <w:tmpl w:val="A5CB5D46"/>
    <w:lvl w:ilvl="0" w:tentative="0">
      <w:start w:val="1"/>
      <w:numFmt w:val="decimal"/>
      <w:suff w:val="nothing"/>
      <w:lvlText w:val="（%1）"/>
      <w:lvlJc w:val="left"/>
      <w:pPr>
        <w:ind w:left="0" w:firstLine="0"/>
      </w:pPr>
      <w:rPr>
        <w:rFonts w:hint="default"/>
      </w:rPr>
    </w:lvl>
  </w:abstractNum>
  <w:abstractNum w:abstractNumId="2">
    <w:nsid w:val="AD36E00B"/>
    <w:multiLevelType w:val="singleLevel"/>
    <w:tmpl w:val="AD36E00B"/>
    <w:lvl w:ilvl="0" w:tentative="0">
      <w:start w:val="1"/>
      <w:numFmt w:val="decimal"/>
      <w:suff w:val="nothing"/>
      <w:lvlText w:val="（%1）"/>
      <w:lvlJc w:val="left"/>
      <w:pPr>
        <w:ind w:left="0" w:firstLine="0"/>
      </w:pPr>
      <w:rPr>
        <w:rFonts w:hint="default"/>
      </w:rPr>
    </w:lvl>
  </w:abstractNum>
  <w:abstractNum w:abstractNumId="3">
    <w:nsid w:val="B296DF03"/>
    <w:multiLevelType w:val="singleLevel"/>
    <w:tmpl w:val="B296DF03"/>
    <w:lvl w:ilvl="0" w:tentative="0">
      <w:start w:val="1"/>
      <w:numFmt w:val="decimal"/>
      <w:suff w:val="nothing"/>
      <w:lvlText w:val="（%1）"/>
      <w:lvlJc w:val="left"/>
      <w:pPr>
        <w:ind w:left="0" w:firstLine="0"/>
      </w:pPr>
      <w:rPr>
        <w:rFonts w:hint="default"/>
      </w:rPr>
    </w:lvl>
  </w:abstractNum>
  <w:abstractNum w:abstractNumId="4">
    <w:nsid w:val="B2FA9815"/>
    <w:multiLevelType w:val="singleLevel"/>
    <w:tmpl w:val="B2FA9815"/>
    <w:lvl w:ilvl="0" w:tentative="0">
      <w:start w:val="1"/>
      <w:numFmt w:val="decimal"/>
      <w:suff w:val="nothing"/>
      <w:lvlText w:val="（%1）"/>
      <w:lvlJc w:val="left"/>
      <w:pPr>
        <w:ind w:left="0" w:firstLine="0"/>
      </w:pPr>
      <w:rPr>
        <w:rFonts w:hint="default"/>
      </w:rPr>
    </w:lvl>
  </w:abstractNum>
  <w:abstractNum w:abstractNumId="5">
    <w:nsid w:val="B2FC82BD"/>
    <w:multiLevelType w:val="singleLevel"/>
    <w:tmpl w:val="B2FC82BD"/>
    <w:lvl w:ilvl="0" w:tentative="0">
      <w:start w:val="1"/>
      <w:numFmt w:val="decimal"/>
      <w:suff w:val="nothing"/>
      <w:lvlText w:val="（%1）"/>
      <w:lvlJc w:val="left"/>
      <w:pPr>
        <w:ind w:left="0" w:firstLine="0"/>
      </w:pPr>
      <w:rPr>
        <w:rFonts w:hint="default"/>
      </w:rPr>
    </w:lvl>
  </w:abstractNum>
  <w:abstractNum w:abstractNumId="6">
    <w:nsid w:val="CF2E698E"/>
    <w:multiLevelType w:val="singleLevel"/>
    <w:tmpl w:val="CF2E698E"/>
    <w:lvl w:ilvl="0" w:tentative="0">
      <w:start w:val="1"/>
      <w:numFmt w:val="decimal"/>
      <w:suff w:val="nothing"/>
      <w:lvlText w:val="（%1）"/>
      <w:lvlJc w:val="left"/>
      <w:pPr>
        <w:ind w:left="0" w:firstLine="0"/>
      </w:pPr>
      <w:rPr>
        <w:rFonts w:hint="default"/>
      </w:rPr>
    </w:lvl>
  </w:abstractNum>
  <w:abstractNum w:abstractNumId="7">
    <w:nsid w:val="D2C1EA73"/>
    <w:multiLevelType w:val="singleLevel"/>
    <w:tmpl w:val="D2C1EA73"/>
    <w:lvl w:ilvl="0" w:tentative="0">
      <w:start w:val="1"/>
      <w:numFmt w:val="decimal"/>
      <w:suff w:val="nothing"/>
      <w:lvlText w:val="（%1）"/>
      <w:lvlJc w:val="left"/>
      <w:pPr>
        <w:ind w:left="0" w:firstLine="0"/>
      </w:pPr>
      <w:rPr>
        <w:rFonts w:hint="default"/>
      </w:rPr>
    </w:lvl>
  </w:abstractNum>
  <w:abstractNum w:abstractNumId="8">
    <w:nsid w:val="E02BE624"/>
    <w:multiLevelType w:val="singleLevel"/>
    <w:tmpl w:val="E02BE624"/>
    <w:lvl w:ilvl="0" w:tentative="0">
      <w:start w:val="1"/>
      <w:numFmt w:val="decimal"/>
      <w:suff w:val="nothing"/>
      <w:lvlText w:val="（%1）"/>
      <w:lvlJc w:val="left"/>
      <w:pPr>
        <w:ind w:left="0" w:firstLine="0"/>
      </w:pPr>
      <w:rPr>
        <w:rFonts w:hint="default"/>
      </w:rPr>
    </w:lvl>
  </w:abstractNum>
  <w:abstractNum w:abstractNumId="9">
    <w:nsid w:val="ECE134F8"/>
    <w:multiLevelType w:val="singleLevel"/>
    <w:tmpl w:val="ECE134F8"/>
    <w:lvl w:ilvl="0" w:tentative="0">
      <w:start w:val="1"/>
      <w:numFmt w:val="decimal"/>
      <w:suff w:val="nothing"/>
      <w:lvlText w:val="（%1）"/>
      <w:lvlJc w:val="left"/>
      <w:pPr>
        <w:ind w:left="0" w:firstLine="0"/>
      </w:pPr>
      <w:rPr>
        <w:rFonts w:hint="default"/>
      </w:rPr>
    </w:lvl>
  </w:abstractNum>
  <w:abstractNum w:abstractNumId="10">
    <w:nsid w:val="F0BF5B98"/>
    <w:multiLevelType w:val="singleLevel"/>
    <w:tmpl w:val="F0BF5B98"/>
    <w:lvl w:ilvl="0" w:tentative="0">
      <w:start w:val="1"/>
      <w:numFmt w:val="decimal"/>
      <w:suff w:val="nothing"/>
      <w:lvlText w:val="（%1）"/>
      <w:lvlJc w:val="left"/>
      <w:pPr>
        <w:ind w:left="0" w:firstLine="0"/>
      </w:pPr>
      <w:rPr>
        <w:rFonts w:hint="default"/>
      </w:rPr>
    </w:lvl>
  </w:abstractNum>
  <w:abstractNum w:abstractNumId="11">
    <w:nsid w:val="FB5BA474"/>
    <w:multiLevelType w:val="singleLevel"/>
    <w:tmpl w:val="FB5BA474"/>
    <w:lvl w:ilvl="0" w:tentative="0">
      <w:start w:val="1"/>
      <w:numFmt w:val="decimal"/>
      <w:suff w:val="nothing"/>
      <w:lvlText w:val="（%1）"/>
      <w:lvlJc w:val="left"/>
      <w:pPr>
        <w:ind w:left="0" w:firstLine="0"/>
      </w:pPr>
      <w:rPr>
        <w:rFonts w:hint="default"/>
      </w:rPr>
    </w:lvl>
  </w:abstractNum>
  <w:abstractNum w:abstractNumId="12">
    <w:nsid w:val="019D1293"/>
    <w:multiLevelType w:val="multilevel"/>
    <w:tmpl w:val="019D129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decimal"/>
      <w:suff w:val="nothing"/>
      <w:lvlText w:val="（%3）"/>
      <w:lvlJc w:val="left"/>
      <w:pPr>
        <w:ind w:left="0" w:firstLine="84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7DD6393"/>
    <w:multiLevelType w:val="multilevel"/>
    <w:tmpl w:val="07DD6393"/>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C195575"/>
    <w:multiLevelType w:val="multilevel"/>
    <w:tmpl w:val="0C195575"/>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3DC010A"/>
    <w:multiLevelType w:val="multilevel"/>
    <w:tmpl w:val="13DC010A"/>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142E6F61"/>
    <w:multiLevelType w:val="multilevel"/>
    <w:tmpl w:val="142E6F61"/>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14CF101C"/>
    <w:multiLevelType w:val="multilevel"/>
    <w:tmpl w:val="14CF101C"/>
    <w:lvl w:ilvl="0" w:tentative="0">
      <w:start w:val="1"/>
      <w:numFmt w:val="decimal"/>
      <w:suff w:val="nothing"/>
      <w:lvlText w:val="（%1）"/>
      <w:lvlJc w:val="left"/>
      <w:pPr>
        <w:ind w:left="0" w:firstLine="5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8">
    <w:nsid w:val="1C9A091F"/>
    <w:multiLevelType w:val="multilevel"/>
    <w:tmpl w:val="1C9A091F"/>
    <w:lvl w:ilvl="0" w:tentative="0">
      <w:start w:val="1"/>
      <w:numFmt w:val="decimal"/>
      <w:suff w:val="nothing"/>
      <w:lvlText w:val="（%1）"/>
      <w:lvlJc w:val="left"/>
      <w:pPr>
        <w:ind w:left="851" w:firstLine="0"/>
      </w:pPr>
      <w:rPr>
        <w:rFonts w:hint="default"/>
      </w:rPr>
    </w:lvl>
    <w:lvl w:ilvl="1" w:tentative="0">
      <w:start w:val="1"/>
      <w:numFmt w:val="lowerLetter"/>
      <w:lvlText w:val="%2)"/>
      <w:lvlJc w:val="left"/>
      <w:pPr>
        <w:ind w:left="1691" w:hanging="420"/>
      </w:pPr>
      <w:rPr>
        <w:rFonts w:hint="eastAsia"/>
      </w:rPr>
    </w:lvl>
    <w:lvl w:ilvl="2" w:tentative="0">
      <w:start w:val="1"/>
      <w:numFmt w:val="lowerRoman"/>
      <w:lvlText w:val="%3."/>
      <w:lvlJc w:val="right"/>
      <w:pPr>
        <w:ind w:left="2111" w:hanging="420"/>
      </w:pPr>
      <w:rPr>
        <w:rFonts w:hint="eastAsia"/>
      </w:rPr>
    </w:lvl>
    <w:lvl w:ilvl="3" w:tentative="0">
      <w:start w:val="1"/>
      <w:numFmt w:val="decimal"/>
      <w:lvlText w:val="%4."/>
      <w:lvlJc w:val="left"/>
      <w:pPr>
        <w:ind w:left="2531" w:hanging="420"/>
      </w:pPr>
      <w:rPr>
        <w:rFonts w:hint="eastAsia"/>
      </w:rPr>
    </w:lvl>
    <w:lvl w:ilvl="4" w:tentative="0">
      <w:start w:val="1"/>
      <w:numFmt w:val="lowerLetter"/>
      <w:lvlText w:val="%5)"/>
      <w:lvlJc w:val="left"/>
      <w:pPr>
        <w:ind w:left="2951" w:hanging="420"/>
      </w:pPr>
      <w:rPr>
        <w:rFonts w:hint="eastAsia"/>
      </w:rPr>
    </w:lvl>
    <w:lvl w:ilvl="5" w:tentative="0">
      <w:start w:val="1"/>
      <w:numFmt w:val="lowerRoman"/>
      <w:lvlText w:val="%6."/>
      <w:lvlJc w:val="right"/>
      <w:pPr>
        <w:ind w:left="3371" w:hanging="420"/>
      </w:pPr>
      <w:rPr>
        <w:rFonts w:hint="eastAsia"/>
      </w:rPr>
    </w:lvl>
    <w:lvl w:ilvl="6" w:tentative="0">
      <w:start w:val="1"/>
      <w:numFmt w:val="decimal"/>
      <w:lvlText w:val="%7."/>
      <w:lvlJc w:val="left"/>
      <w:pPr>
        <w:ind w:left="3791" w:hanging="420"/>
      </w:pPr>
      <w:rPr>
        <w:rFonts w:hint="eastAsia"/>
      </w:rPr>
    </w:lvl>
    <w:lvl w:ilvl="7" w:tentative="0">
      <w:start w:val="1"/>
      <w:numFmt w:val="lowerLetter"/>
      <w:lvlText w:val="%8)"/>
      <w:lvlJc w:val="left"/>
      <w:pPr>
        <w:ind w:left="4211" w:hanging="420"/>
      </w:pPr>
      <w:rPr>
        <w:rFonts w:hint="eastAsia"/>
      </w:rPr>
    </w:lvl>
    <w:lvl w:ilvl="8" w:tentative="0">
      <w:start w:val="1"/>
      <w:numFmt w:val="lowerRoman"/>
      <w:lvlText w:val="%9."/>
      <w:lvlJc w:val="right"/>
      <w:pPr>
        <w:ind w:left="4631" w:hanging="420"/>
      </w:pPr>
      <w:rPr>
        <w:rFonts w:hint="eastAsia"/>
      </w:rPr>
    </w:lvl>
  </w:abstractNum>
  <w:abstractNum w:abstractNumId="19">
    <w:nsid w:val="232B6156"/>
    <w:multiLevelType w:val="singleLevel"/>
    <w:tmpl w:val="232B6156"/>
    <w:lvl w:ilvl="0" w:tentative="0">
      <w:start w:val="1"/>
      <w:numFmt w:val="decimal"/>
      <w:suff w:val="nothing"/>
      <w:lvlText w:val="（%1）"/>
      <w:lvlJc w:val="left"/>
      <w:pPr>
        <w:ind w:left="0" w:firstLine="0"/>
      </w:pPr>
      <w:rPr>
        <w:rFonts w:hint="default"/>
      </w:rPr>
    </w:lvl>
  </w:abstractNum>
  <w:abstractNum w:abstractNumId="20">
    <w:nsid w:val="2C8F4AC7"/>
    <w:multiLevelType w:val="singleLevel"/>
    <w:tmpl w:val="2C8F4AC7"/>
    <w:lvl w:ilvl="0" w:tentative="0">
      <w:start w:val="1"/>
      <w:numFmt w:val="decimal"/>
      <w:suff w:val="nothing"/>
      <w:lvlText w:val="（%1）"/>
      <w:lvlJc w:val="left"/>
      <w:pPr>
        <w:ind w:left="0" w:firstLine="0"/>
      </w:pPr>
      <w:rPr>
        <w:rFonts w:hint="default"/>
      </w:rPr>
    </w:lvl>
  </w:abstractNum>
  <w:abstractNum w:abstractNumId="21">
    <w:nsid w:val="2E43745C"/>
    <w:multiLevelType w:val="singleLevel"/>
    <w:tmpl w:val="2E43745C"/>
    <w:lvl w:ilvl="0" w:tentative="0">
      <w:start w:val="1"/>
      <w:numFmt w:val="decimal"/>
      <w:suff w:val="nothing"/>
      <w:lvlText w:val="（%1）"/>
      <w:lvlJc w:val="left"/>
      <w:pPr>
        <w:ind w:left="0" w:firstLine="0"/>
      </w:pPr>
      <w:rPr>
        <w:rFonts w:hint="default"/>
      </w:rPr>
    </w:lvl>
  </w:abstractNum>
  <w:abstractNum w:abstractNumId="22">
    <w:nsid w:val="322D310D"/>
    <w:multiLevelType w:val="multilevel"/>
    <w:tmpl w:val="322D310D"/>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400" w:hanging="420"/>
      </w:pPr>
      <w:rPr>
        <w:rFonts w:hint="eastAsia"/>
      </w:rPr>
    </w:lvl>
    <w:lvl w:ilvl="2" w:tentative="0">
      <w:start w:val="1"/>
      <w:numFmt w:val="lowerRoman"/>
      <w:lvlText w:val="%3."/>
      <w:lvlJc w:val="right"/>
      <w:pPr>
        <w:ind w:left="1820" w:hanging="420"/>
      </w:pPr>
      <w:rPr>
        <w:rFonts w:hint="eastAsia"/>
      </w:rPr>
    </w:lvl>
    <w:lvl w:ilvl="3" w:tentative="0">
      <w:start w:val="1"/>
      <w:numFmt w:val="decimal"/>
      <w:lvlText w:val="%4."/>
      <w:lvlJc w:val="left"/>
      <w:pPr>
        <w:ind w:left="2240" w:hanging="420"/>
      </w:pPr>
      <w:rPr>
        <w:rFonts w:hint="eastAsia"/>
      </w:rPr>
    </w:lvl>
    <w:lvl w:ilvl="4" w:tentative="0">
      <w:start w:val="1"/>
      <w:numFmt w:val="lowerLetter"/>
      <w:lvlText w:val="%5)"/>
      <w:lvlJc w:val="left"/>
      <w:pPr>
        <w:ind w:left="2660" w:hanging="420"/>
      </w:pPr>
      <w:rPr>
        <w:rFonts w:hint="eastAsia"/>
      </w:rPr>
    </w:lvl>
    <w:lvl w:ilvl="5" w:tentative="0">
      <w:start w:val="1"/>
      <w:numFmt w:val="lowerRoman"/>
      <w:lvlText w:val="%6."/>
      <w:lvlJc w:val="right"/>
      <w:pPr>
        <w:ind w:left="3080" w:hanging="420"/>
      </w:pPr>
      <w:rPr>
        <w:rFonts w:hint="eastAsia"/>
      </w:rPr>
    </w:lvl>
    <w:lvl w:ilvl="6" w:tentative="0">
      <w:start w:val="1"/>
      <w:numFmt w:val="decimal"/>
      <w:lvlText w:val="%7."/>
      <w:lvlJc w:val="left"/>
      <w:pPr>
        <w:ind w:left="3500" w:hanging="420"/>
      </w:pPr>
      <w:rPr>
        <w:rFonts w:hint="eastAsia"/>
      </w:rPr>
    </w:lvl>
    <w:lvl w:ilvl="7" w:tentative="0">
      <w:start w:val="1"/>
      <w:numFmt w:val="lowerLetter"/>
      <w:lvlText w:val="%8)"/>
      <w:lvlJc w:val="left"/>
      <w:pPr>
        <w:ind w:left="3920" w:hanging="420"/>
      </w:pPr>
      <w:rPr>
        <w:rFonts w:hint="eastAsia"/>
      </w:rPr>
    </w:lvl>
    <w:lvl w:ilvl="8" w:tentative="0">
      <w:start w:val="1"/>
      <w:numFmt w:val="lowerRoman"/>
      <w:lvlText w:val="%9."/>
      <w:lvlJc w:val="right"/>
      <w:pPr>
        <w:ind w:left="4340" w:hanging="420"/>
      </w:pPr>
      <w:rPr>
        <w:rFonts w:hint="eastAsia"/>
      </w:rPr>
    </w:lvl>
  </w:abstractNum>
  <w:abstractNum w:abstractNumId="23">
    <w:nsid w:val="32EE14A8"/>
    <w:multiLevelType w:val="multilevel"/>
    <w:tmpl w:val="32EE14A8"/>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34514A20"/>
    <w:multiLevelType w:val="multilevel"/>
    <w:tmpl w:val="34514A20"/>
    <w:lvl w:ilvl="0" w:tentative="0">
      <w:start w:val="1"/>
      <w:numFmt w:val="decimal"/>
      <w:suff w:val="space"/>
      <w:lvlText w:val="%1."/>
      <w:lvlJc w:val="left"/>
      <w:pPr>
        <w:ind w:left="0" w:firstLine="0"/>
      </w:pPr>
      <w:rPr>
        <w:rFonts w:hint="default" w:hAnsi="华文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37196DF3"/>
    <w:multiLevelType w:val="multilevel"/>
    <w:tmpl w:val="37196DF3"/>
    <w:lvl w:ilvl="0" w:tentative="0">
      <w:start w:val="1"/>
      <w:numFmt w:val="decimal"/>
      <w:suff w:val="space"/>
      <w:lvlText w:val="%1."/>
      <w:lvlJc w:val="left"/>
      <w:pPr>
        <w:ind w:left="0" w:firstLine="0"/>
      </w:pPr>
      <w:rPr>
        <w:rFonts w:hint="default" w:hAnsi="华文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3A3827C9"/>
    <w:multiLevelType w:val="multilevel"/>
    <w:tmpl w:val="3A3827C9"/>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3A6A42F4"/>
    <w:multiLevelType w:val="multilevel"/>
    <w:tmpl w:val="3A6A42F4"/>
    <w:lvl w:ilvl="0" w:tentative="0">
      <w:start w:val="1"/>
      <w:numFmt w:val="decimal"/>
      <w:suff w:val="nothing"/>
      <w:lvlText w:val="（%1）"/>
      <w:lvlJc w:val="left"/>
      <w:pPr>
        <w:ind w:left="0" w:firstLine="400"/>
      </w:pPr>
      <w:rPr>
        <w:rFonts w:hint="default"/>
      </w:rPr>
    </w:lvl>
    <w:lvl w:ilvl="1" w:tentative="0">
      <w:start w:val="1"/>
      <w:numFmt w:val="lowerLetter"/>
      <w:lvlText w:val="%2)"/>
      <w:lvlJc w:val="left"/>
      <w:pPr>
        <w:ind w:left="1406" w:hanging="420"/>
      </w:pPr>
      <w:rPr>
        <w:rFonts w:hint="eastAsia"/>
      </w:rPr>
    </w:lvl>
    <w:lvl w:ilvl="2" w:tentative="0">
      <w:start w:val="1"/>
      <w:numFmt w:val="lowerRoman"/>
      <w:lvlText w:val="%3."/>
      <w:lvlJc w:val="right"/>
      <w:pPr>
        <w:ind w:left="1826" w:hanging="420"/>
      </w:pPr>
      <w:rPr>
        <w:rFonts w:hint="eastAsia"/>
      </w:rPr>
    </w:lvl>
    <w:lvl w:ilvl="3" w:tentative="0">
      <w:start w:val="1"/>
      <w:numFmt w:val="decimal"/>
      <w:lvlText w:val="%4."/>
      <w:lvlJc w:val="left"/>
      <w:pPr>
        <w:ind w:left="2246" w:hanging="420"/>
      </w:pPr>
      <w:rPr>
        <w:rFonts w:hint="eastAsia"/>
      </w:rPr>
    </w:lvl>
    <w:lvl w:ilvl="4" w:tentative="0">
      <w:start w:val="1"/>
      <w:numFmt w:val="lowerLetter"/>
      <w:lvlText w:val="%5)"/>
      <w:lvlJc w:val="left"/>
      <w:pPr>
        <w:ind w:left="2666" w:hanging="420"/>
      </w:pPr>
      <w:rPr>
        <w:rFonts w:hint="eastAsia"/>
      </w:rPr>
    </w:lvl>
    <w:lvl w:ilvl="5" w:tentative="0">
      <w:start w:val="1"/>
      <w:numFmt w:val="lowerRoman"/>
      <w:lvlText w:val="%6."/>
      <w:lvlJc w:val="right"/>
      <w:pPr>
        <w:ind w:left="3086" w:hanging="420"/>
      </w:pPr>
      <w:rPr>
        <w:rFonts w:hint="eastAsia"/>
      </w:rPr>
    </w:lvl>
    <w:lvl w:ilvl="6" w:tentative="0">
      <w:start w:val="1"/>
      <w:numFmt w:val="decimal"/>
      <w:lvlText w:val="%7."/>
      <w:lvlJc w:val="left"/>
      <w:pPr>
        <w:ind w:left="3506" w:hanging="420"/>
      </w:pPr>
      <w:rPr>
        <w:rFonts w:hint="eastAsia"/>
      </w:rPr>
    </w:lvl>
    <w:lvl w:ilvl="7" w:tentative="0">
      <w:start w:val="1"/>
      <w:numFmt w:val="lowerLetter"/>
      <w:lvlText w:val="%8)"/>
      <w:lvlJc w:val="left"/>
      <w:pPr>
        <w:ind w:left="3926" w:hanging="420"/>
      </w:pPr>
      <w:rPr>
        <w:rFonts w:hint="eastAsia"/>
      </w:rPr>
    </w:lvl>
    <w:lvl w:ilvl="8" w:tentative="0">
      <w:start w:val="1"/>
      <w:numFmt w:val="lowerRoman"/>
      <w:lvlText w:val="%9."/>
      <w:lvlJc w:val="right"/>
      <w:pPr>
        <w:ind w:left="4346" w:hanging="420"/>
      </w:pPr>
      <w:rPr>
        <w:rFonts w:hint="eastAsia"/>
      </w:rPr>
    </w:lvl>
  </w:abstractNum>
  <w:abstractNum w:abstractNumId="28">
    <w:nsid w:val="47B644EC"/>
    <w:multiLevelType w:val="multilevel"/>
    <w:tmpl w:val="47B644EC"/>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4ABE0EF4"/>
    <w:multiLevelType w:val="multilevel"/>
    <w:tmpl w:val="4ABE0EF4"/>
    <w:lvl w:ilvl="0" w:tentative="0">
      <w:start w:val="1"/>
      <w:numFmt w:val="decimal"/>
      <w:suff w:val="nothing"/>
      <w:lvlText w:val="（%1）"/>
      <w:lvlJc w:val="left"/>
      <w:pPr>
        <w:ind w:left="0" w:firstLine="40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0">
    <w:nsid w:val="4C8641B1"/>
    <w:multiLevelType w:val="singleLevel"/>
    <w:tmpl w:val="4C8641B1"/>
    <w:lvl w:ilvl="0" w:tentative="0">
      <w:start w:val="1"/>
      <w:numFmt w:val="decimal"/>
      <w:suff w:val="nothing"/>
      <w:lvlText w:val="（%1）"/>
      <w:lvlJc w:val="left"/>
      <w:pPr>
        <w:ind w:left="0" w:firstLine="0"/>
      </w:pPr>
      <w:rPr>
        <w:rFonts w:hint="default"/>
      </w:rPr>
    </w:lvl>
  </w:abstractNum>
  <w:abstractNum w:abstractNumId="31">
    <w:nsid w:val="4F3730FE"/>
    <w:multiLevelType w:val="multilevel"/>
    <w:tmpl w:val="4F3730FE"/>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2">
    <w:nsid w:val="5408D417"/>
    <w:multiLevelType w:val="singleLevel"/>
    <w:tmpl w:val="5408D417"/>
    <w:lvl w:ilvl="0" w:tentative="0">
      <w:start w:val="1"/>
      <w:numFmt w:val="decimal"/>
      <w:suff w:val="nothing"/>
      <w:lvlText w:val="（%1）"/>
      <w:lvlJc w:val="left"/>
      <w:pPr>
        <w:ind w:left="0" w:firstLine="0"/>
      </w:pPr>
      <w:rPr>
        <w:rFonts w:hint="default"/>
      </w:rPr>
    </w:lvl>
  </w:abstractNum>
  <w:abstractNum w:abstractNumId="33">
    <w:nsid w:val="57F93943"/>
    <w:multiLevelType w:val="multilevel"/>
    <w:tmpl w:val="57F93943"/>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5BC60F1C"/>
    <w:multiLevelType w:val="multilevel"/>
    <w:tmpl w:val="5BC60F1C"/>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625F0FCC"/>
    <w:multiLevelType w:val="multilevel"/>
    <w:tmpl w:val="625F0FCC"/>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667551F3"/>
    <w:multiLevelType w:val="multilevel"/>
    <w:tmpl w:val="667551F3"/>
    <w:lvl w:ilvl="0" w:tentative="0">
      <w:start w:val="1"/>
      <w:numFmt w:val="chineseCountingThousand"/>
      <w:pStyle w:val="2"/>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6D2F7451"/>
    <w:multiLevelType w:val="multilevel"/>
    <w:tmpl w:val="6D2F7451"/>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8">
    <w:nsid w:val="72BE3D3D"/>
    <w:multiLevelType w:val="multilevel"/>
    <w:tmpl w:val="72BE3D3D"/>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79063FC1"/>
    <w:multiLevelType w:val="multilevel"/>
    <w:tmpl w:val="79063FC1"/>
    <w:lvl w:ilvl="0" w:tentative="0">
      <w:start w:val="1"/>
      <w:numFmt w:val="decimal"/>
      <w:suff w:val="nothing"/>
      <w:lvlText w:val="（%1）"/>
      <w:lvlJc w:val="left"/>
      <w:pPr>
        <w:ind w:left="0" w:firstLine="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0">
    <w:nsid w:val="7D4468CE"/>
    <w:multiLevelType w:val="multilevel"/>
    <w:tmpl w:val="7D4468CE"/>
    <w:lvl w:ilvl="0" w:tentative="0">
      <w:start w:val="1"/>
      <w:numFmt w:val="decimal"/>
      <w:suff w:val="nothing"/>
      <w:lvlText w:val="（%1）"/>
      <w:lvlJc w:val="left"/>
      <w:pPr>
        <w:ind w:left="0" w:firstLine="5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36"/>
  </w:num>
  <w:num w:numId="2">
    <w:abstractNumId w:val="32"/>
  </w:num>
  <w:num w:numId="3">
    <w:abstractNumId w:val="5"/>
  </w:num>
  <w:num w:numId="4">
    <w:abstractNumId w:val="4"/>
  </w:num>
  <w:num w:numId="5">
    <w:abstractNumId w:val="11"/>
  </w:num>
  <w:num w:numId="6">
    <w:abstractNumId w:val="14"/>
  </w:num>
  <w:num w:numId="7">
    <w:abstractNumId w:val="19"/>
  </w:num>
  <w:num w:numId="8">
    <w:abstractNumId w:val="3"/>
  </w:num>
  <w:num w:numId="9">
    <w:abstractNumId w:val="9"/>
  </w:num>
  <w:num w:numId="10">
    <w:abstractNumId w:val="0"/>
  </w:num>
  <w:num w:numId="11">
    <w:abstractNumId w:val="21"/>
  </w:num>
  <w:num w:numId="12">
    <w:abstractNumId w:val="22"/>
  </w:num>
  <w:num w:numId="13">
    <w:abstractNumId w:val="27"/>
  </w:num>
  <w:num w:numId="14">
    <w:abstractNumId w:val="16"/>
  </w:num>
  <w:num w:numId="15">
    <w:abstractNumId w:val="37"/>
  </w:num>
  <w:num w:numId="16">
    <w:abstractNumId w:val="23"/>
  </w:num>
  <w:num w:numId="17">
    <w:abstractNumId w:val="25"/>
  </w:num>
  <w:num w:numId="18">
    <w:abstractNumId w:val="26"/>
  </w:num>
  <w:num w:numId="19">
    <w:abstractNumId w:val="24"/>
  </w:num>
  <w:num w:numId="20">
    <w:abstractNumId w:val="18"/>
  </w:num>
  <w:num w:numId="21">
    <w:abstractNumId w:val="15"/>
  </w:num>
  <w:num w:numId="22">
    <w:abstractNumId w:val="31"/>
  </w:num>
  <w:num w:numId="23">
    <w:abstractNumId w:val="1"/>
  </w:num>
  <w:num w:numId="24">
    <w:abstractNumId w:val="13"/>
  </w:num>
  <w:num w:numId="25">
    <w:abstractNumId w:val="10"/>
  </w:num>
  <w:num w:numId="26">
    <w:abstractNumId w:val="7"/>
  </w:num>
  <w:num w:numId="27">
    <w:abstractNumId w:val="30"/>
  </w:num>
  <w:num w:numId="28">
    <w:abstractNumId w:val="8"/>
  </w:num>
  <w:num w:numId="29">
    <w:abstractNumId w:val="6"/>
  </w:num>
  <w:num w:numId="30">
    <w:abstractNumId w:val="20"/>
  </w:num>
  <w:num w:numId="31">
    <w:abstractNumId w:val="2"/>
  </w:num>
  <w:num w:numId="32">
    <w:abstractNumId w:val="34"/>
  </w:num>
  <w:num w:numId="33">
    <w:abstractNumId w:val="33"/>
  </w:num>
  <w:num w:numId="34">
    <w:abstractNumId w:val="28"/>
  </w:num>
  <w:num w:numId="35">
    <w:abstractNumId w:val="40"/>
  </w:num>
  <w:num w:numId="36">
    <w:abstractNumId w:val="17"/>
  </w:num>
  <w:num w:numId="37">
    <w:abstractNumId w:val="29"/>
  </w:num>
  <w:num w:numId="38">
    <w:abstractNumId w:val="12"/>
  </w:num>
  <w:num w:numId="39">
    <w:abstractNumId w:val="39"/>
  </w:num>
  <w:num w:numId="40">
    <w:abstractNumId w:val="3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9C1124"/>
    <w:rsid w:val="000321ED"/>
    <w:rsid w:val="00061A4A"/>
    <w:rsid w:val="00095C3E"/>
    <w:rsid w:val="000B30E2"/>
    <w:rsid w:val="001070EF"/>
    <w:rsid w:val="00125BAF"/>
    <w:rsid w:val="0016103D"/>
    <w:rsid w:val="00167316"/>
    <w:rsid w:val="001716C8"/>
    <w:rsid w:val="001A01BF"/>
    <w:rsid w:val="001F4530"/>
    <w:rsid w:val="0027277B"/>
    <w:rsid w:val="002A691B"/>
    <w:rsid w:val="002D074D"/>
    <w:rsid w:val="002D07A3"/>
    <w:rsid w:val="002E01D5"/>
    <w:rsid w:val="003747DF"/>
    <w:rsid w:val="00386939"/>
    <w:rsid w:val="003C1706"/>
    <w:rsid w:val="003C65FD"/>
    <w:rsid w:val="003D137E"/>
    <w:rsid w:val="003D2DA2"/>
    <w:rsid w:val="003F0399"/>
    <w:rsid w:val="00423DBE"/>
    <w:rsid w:val="004576DB"/>
    <w:rsid w:val="0046517D"/>
    <w:rsid w:val="004B6C79"/>
    <w:rsid w:val="004C26CE"/>
    <w:rsid w:val="004D0D6D"/>
    <w:rsid w:val="00505013"/>
    <w:rsid w:val="00510EF1"/>
    <w:rsid w:val="00524566"/>
    <w:rsid w:val="00545FDC"/>
    <w:rsid w:val="0056063C"/>
    <w:rsid w:val="0056113E"/>
    <w:rsid w:val="00573262"/>
    <w:rsid w:val="0057352C"/>
    <w:rsid w:val="005A3019"/>
    <w:rsid w:val="005C1DE4"/>
    <w:rsid w:val="005E336A"/>
    <w:rsid w:val="00632DC2"/>
    <w:rsid w:val="0066527E"/>
    <w:rsid w:val="0069284B"/>
    <w:rsid w:val="0069549C"/>
    <w:rsid w:val="00697C56"/>
    <w:rsid w:val="006B377A"/>
    <w:rsid w:val="006E57BD"/>
    <w:rsid w:val="00703EF0"/>
    <w:rsid w:val="007141E5"/>
    <w:rsid w:val="00725636"/>
    <w:rsid w:val="00751750"/>
    <w:rsid w:val="007740BA"/>
    <w:rsid w:val="007C76E7"/>
    <w:rsid w:val="007D544B"/>
    <w:rsid w:val="007F7069"/>
    <w:rsid w:val="00806C25"/>
    <w:rsid w:val="00850B24"/>
    <w:rsid w:val="00875D5C"/>
    <w:rsid w:val="00876C41"/>
    <w:rsid w:val="00883C9B"/>
    <w:rsid w:val="008C3309"/>
    <w:rsid w:val="009054AC"/>
    <w:rsid w:val="0092267D"/>
    <w:rsid w:val="00960989"/>
    <w:rsid w:val="00975F85"/>
    <w:rsid w:val="009B453E"/>
    <w:rsid w:val="009B7A05"/>
    <w:rsid w:val="009C612A"/>
    <w:rsid w:val="00A5476A"/>
    <w:rsid w:val="00AC0211"/>
    <w:rsid w:val="00AC22DE"/>
    <w:rsid w:val="00AC2CB8"/>
    <w:rsid w:val="00AD78B2"/>
    <w:rsid w:val="00B24F23"/>
    <w:rsid w:val="00B47E62"/>
    <w:rsid w:val="00B7624D"/>
    <w:rsid w:val="00B85C5D"/>
    <w:rsid w:val="00B962AE"/>
    <w:rsid w:val="00C66B4F"/>
    <w:rsid w:val="00CB54B7"/>
    <w:rsid w:val="00CC1E18"/>
    <w:rsid w:val="00D11968"/>
    <w:rsid w:val="00D47411"/>
    <w:rsid w:val="00D61D4D"/>
    <w:rsid w:val="00D65960"/>
    <w:rsid w:val="00D70221"/>
    <w:rsid w:val="00DB0596"/>
    <w:rsid w:val="00DC0C71"/>
    <w:rsid w:val="00DD3EA9"/>
    <w:rsid w:val="00DD49A9"/>
    <w:rsid w:val="00DF2F13"/>
    <w:rsid w:val="00E340ED"/>
    <w:rsid w:val="00E46915"/>
    <w:rsid w:val="00E570C4"/>
    <w:rsid w:val="00E8543E"/>
    <w:rsid w:val="00E9575E"/>
    <w:rsid w:val="00EA7FE0"/>
    <w:rsid w:val="00ED2F99"/>
    <w:rsid w:val="00ED5F6C"/>
    <w:rsid w:val="00F17C30"/>
    <w:rsid w:val="00F51C5A"/>
    <w:rsid w:val="00F544BF"/>
    <w:rsid w:val="00F819D7"/>
    <w:rsid w:val="00FA19C6"/>
    <w:rsid w:val="00FC1019"/>
    <w:rsid w:val="00FC1E88"/>
    <w:rsid w:val="00FF4666"/>
    <w:rsid w:val="011D7AC0"/>
    <w:rsid w:val="018702E7"/>
    <w:rsid w:val="01AC10AC"/>
    <w:rsid w:val="01EE6B5C"/>
    <w:rsid w:val="020226F2"/>
    <w:rsid w:val="023A5030"/>
    <w:rsid w:val="02A40575"/>
    <w:rsid w:val="02CE4669"/>
    <w:rsid w:val="03875CEF"/>
    <w:rsid w:val="03DD37D7"/>
    <w:rsid w:val="04005B8D"/>
    <w:rsid w:val="046819E4"/>
    <w:rsid w:val="049C1124"/>
    <w:rsid w:val="051C10C7"/>
    <w:rsid w:val="05832041"/>
    <w:rsid w:val="0604539C"/>
    <w:rsid w:val="06065CDF"/>
    <w:rsid w:val="06156F00"/>
    <w:rsid w:val="06235B9C"/>
    <w:rsid w:val="065F38BD"/>
    <w:rsid w:val="06E95B1F"/>
    <w:rsid w:val="06FC1334"/>
    <w:rsid w:val="06FE3174"/>
    <w:rsid w:val="07393FDF"/>
    <w:rsid w:val="07EB2789"/>
    <w:rsid w:val="08124210"/>
    <w:rsid w:val="08AB3494"/>
    <w:rsid w:val="08C01258"/>
    <w:rsid w:val="08F80032"/>
    <w:rsid w:val="09322D39"/>
    <w:rsid w:val="099E1613"/>
    <w:rsid w:val="0A7C0972"/>
    <w:rsid w:val="0A8C1550"/>
    <w:rsid w:val="0AAB44AC"/>
    <w:rsid w:val="0AE10B7A"/>
    <w:rsid w:val="0AF503D1"/>
    <w:rsid w:val="0AF87074"/>
    <w:rsid w:val="0BA72172"/>
    <w:rsid w:val="0C2B7438"/>
    <w:rsid w:val="0C543008"/>
    <w:rsid w:val="0D25572A"/>
    <w:rsid w:val="0D2B4D0F"/>
    <w:rsid w:val="0D4B3792"/>
    <w:rsid w:val="0D9E3A03"/>
    <w:rsid w:val="0DEC01AD"/>
    <w:rsid w:val="0E8C3C2B"/>
    <w:rsid w:val="0EF36047"/>
    <w:rsid w:val="0F0B0A99"/>
    <w:rsid w:val="0F5461B1"/>
    <w:rsid w:val="10101A19"/>
    <w:rsid w:val="10361E84"/>
    <w:rsid w:val="104B6BD7"/>
    <w:rsid w:val="108F37D2"/>
    <w:rsid w:val="109C65DF"/>
    <w:rsid w:val="10BA2D6F"/>
    <w:rsid w:val="11234014"/>
    <w:rsid w:val="113C1983"/>
    <w:rsid w:val="118C69F3"/>
    <w:rsid w:val="11B72CF5"/>
    <w:rsid w:val="11DC243A"/>
    <w:rsid w:val="123405DD"/>
    <w:rsid w:val="124B49FD"/>
    <w:rsid w:val="126C4322"/>
    <w:rsid w:val="127B327C"/>
    <w:rsid w:val="12870B20"/>
    <w:rsid w:val="12912A3B"/>
    <w:rsid w:val="129C6D2C"/>
    <w:rsid w:val="12DE2E05"/>
    <w:rsid w:val="133929E3"/>
    <w:rsid w:val="13D048E8"/>
    <w:rsid w:val="13DA0224"/>
    <w:rsid w:val="13FB3DBA"/>
    <w:rsid w:val="14137807"/>
    <w:rsid w:val="14496A2D"/>
    <w:rsid w:val="146F305E"/>
    <w:rsid w:val="14F64290"/>
    <w:rsid w:val="15070D64"/>
    <w:rsid w:val="156728BD"/>
    <w:rsid w:val="1567477B"/>
    <w:rsid w:val="157A0860"/>
    <w:rsid w:val="158B0673"/>
    <w:rsid w:val="158B7ADD"/>
    <w:rsid w:val="15BC237B"/>
    <w:rsid w:val="15F97269"/>
    <w:rsid w:val="16BA0F21"/>
    <w:rsid w:val="16FC18E3"/>
    <w:rsid w:val="17403C7F"/>
    <w:rsid w:val="176A1828"/>
    <w:rsid w:val="178C2D6F"/>
    <w:rsid w:val="17A4698D"/>
    <w:rsid w:val="17CB2D21"/>
    <w:rsid w:val="17CE73EF"/>
    <w:rsid w:val="18345775"/>
    <w:rsid w:val="184031F7"/>
    <w:rsid w:val="185C2F39"/>
    <w:rsid w:val="188B3B9A"/>
    <w:rsid w:val="18B66DC2"/>
    <w:rsid w:val="18EB3324"/>
    <w:rsid w:val="18EE31BE"/>
    <w:rsid w:val="193C2C43"/>
    <w:rsid w:val="199C35D5"/>
    <w:rsid w:val="1A156031"/>
    <w:rsid w:val="1A4927B1"/>
    <w:rsid w:val="1A6B2B45"/>
    <w:rsid w:val="1A6D3910"/>
    <w:rsid w:val="1A8F3166"/>
    <w:rsid w:val="1AE30219"/>
    <w:rsid w:val="1B206515"/>
    <w:rsid w:val="1B983568"/>
    <w:rsid w:val="1C3215B4"/>
    <w:rsid w:val="1D3808E0"/>
    <w:rsid w:val="1D383DD8"/>
    <w:rsid w:val="1D773594"/>
    <w:rsid w:val="1D7737B7"/>
    <w:rsid w:val="1D8A540F"/>
    <w:rsid w:val="1D9D771C"/>
    <w:rsid w:val="1DBF645A"/>
    <w:rsid w:val="1E3A44FA"/>
    <w:rsid w:val="1E3B214E"/>
    <w:rsid w:val="1E46178F"/>
    <w:rsid w:val="1E932946"/>
    <w:rsid w:val="1EA23E48"/>
    <w:rsid w:val="1EDF0A42"/>
    <w:rsid w:val="1EDF7DD1"/>
    <w:rsid w:val="1EE46C0B"/>
    <w:rsid w:val="1EF20DB8"/>
    <w:rsid w:val="1F07609C"/>
    <w:rsid w:val="1F4456A3"/>
    <w:rsid w:val="1F73150A"/>
    <w:rsid w:val="1FC343EF"/>
    <w:rsid w:val="1FD26F53"/>
    <w:rsid w:val="1FEB5809"/>
    <w:rsid w:val="1FF6090D"/>
    <w:rsid w:val="20925F1F"/>
    <w:rsid w:val="20C878E2"/>
    <w:rsid w:val="20FC7CEC"/>
    <w:rsid w:val="210105E1"/>
    <w:rsid w:val="2167540A"/>
    <w:rsid w:val="21DC350F"/>
    <w:rsid w:val="21E360A0"/>
    <w:rsid w:val="226E5270"/>
    <w:rsid w:val="231E2B4B"/>
    <w:rsid w:val="23253971"/>
    <w:rsid w:val="233613C0"/>
    <w:rsid w:val="233D10A1"/>
    <w:rsid w:val="237D3CA3"/>
    <w:rsid w:val="23AD4187"/>
    <w:rsid w:val="23C11F85"/>
    <w:rsid w:val="245C3B3D"/>
    <w:rsid w:val="24757224"/>
    <w:rsid w:val="252D2463"/>
    <w:rsid w:val="256627C2"/>
    <w:rsid w:val="256A7E64"/>
    <w:rsid w:val="25743754"/>
    <w:rsid w:val="25750CFD"/>
    <w:rsid w:val="25D70E7A"/>
    <w:rsid w:val="26043D59"/>
    <w:rsid w:val="26133423"/>
    <w:rsid w:val="263B2A85"/>
    <w:rsid w:val="266966E4"/>
    <w:rsid w:val="26B95992"/>
    <w:rsid w:val="27711829"/>
    <w:rsid w:val="279441EF"/>
    <w:rsid w:val="283E4F66"/>
    <w:rsid w:val="2864764C"/>
    <w:rsid w:val="28711E48"/>
    <w:rsid w:val="28860B8B"/>
    <w:rsid w:val="289F359C"/>
    <w:rsid w:val="28A0359B"/>
    <w:rsid w:val="28F34B1B"/>
    <w:rsid w:val="290E313B"/>
    <w:rsid w:val="293E5DF3"/>
    <w:rsid w:val="29CF28D9"/>
    <w:rsid w:val="2A0614BA"/>
    <w:rsid w:val="2A2066C2"/>
    <w:rsid w:val="2A5A510B"/>
    <w:rsid w:val="2AD84A01"/>
    <w:rsid w:val="2B0E0D0F"/>
    <w:rsid w:val="2B5C7DC5"/>
    <w:rsid w:val="2BBE2181"/>
    <w:rsid w:val="2BC25E8A"/>
    <w:rsid w:val="2BE9199D"/>
    <w:rsid w:val="2BFB43D7"/>
    <w:rsid w:val="2C236B44"/>
    <w:rsid w:val="2C34518C"/>
    <w:rsid w:val="2C3F15BB"/>
    <w:rsid w:val="2C4B3CFC"/>
    <w:rsid w:val="2C6646F4"/>
    <w:rsid w:val="2C737CB0"/>
    <w:rsid w:val="2CD71105"/>
    <w:rsid w:val="2CF31D13"/>
    <w:rsid w:val="2D63650F"/>
    <w:rsid w:val="2D8F0A67"/>
    <w:rsid w:val="2DD61CBE"/>
    <w:rsid w:val="2E0B2AC4"/>
    <w:rsid w:val="2E4A55E0"/>
    <w:rsid w:val="2E4D6A6A"/>
    <w:rsid w:val="2E6B1033"/>
    <w:rsid w:val="2EFA47A0"/>
    <w:rsid w:val="2F0C7333"/>
    <w:rsid w:val="2F3E2277"/>
    <w:rsid w:val="2F6D222B"/>
    <w:rsid w:val="2FBF0661"/>
    <w:rsid w:val="30012A17"/>
    <w:rsid w:val="30263A47"/>
    <w:rsid w:val="304A457D"/>
    <w:rsid w:val="307D1C7D"/>
    <w:rsid w:val="308C3CFC"/>
    <w:rsid w:val="30AE1435"/>
    <w:rsid w:val="312703A7"/>
    <w:rsid w:val="314A28A5"/>
    <w:rsid w:val="315C1D96"/>
    <w:rsid w:val="31CA023E"/>
    <w:rsid w:val="31FE6AA3"/>
    <w:rsid w:val="325C6D4F"/>
    <w:rsid w:val="32C01C6F"/>
    <w:rsid w:val="32C806D3"/>
    <w:rsid w:val="33445FC3"/>
    <w:rsid w:val="336F1B66"/>
    <w:rsid w:val="338A1891"/>
    <w:rsid w:val="339A5982"/>
    <w:rsid w:val="33B40B30"/>
    <w:rsid w:val="33CE208D"/>
    <w:rsid w:val="3404593F"/>
    <w:rsid w:val="347276D6"/>
    <w:rsid w:val="349D4854"/>
    <w:rsid w:val="34A743AE"/>
    <w:rsid w:val="34F14B50"/>
    <w:rsid w:val="35A228F8"/>
    <w:rsid w:val="35D97050"/>
    <w:rsid w:val="36533F76"/>
    <w:rsid w:val="368A58C3"/>
    <w:rsid w:val="375E6D8B"/>
    <w:rsid w:val="37AA20D0"/>
    <w:rsid w:val="37AB2C02"/>
    <w:rsid w:val="37E5772A"/>
    <w:rsid w:val="383F4A5B"/>
    <w:rsid w:val="38512C64"/>
    <w:rsid w:val="38795A4E"/>
    <w:rsid w:val="38885BC7"/>
    <w:rsid w:val="38993B68"/>
    <w:rsid w:val="38B858ED"/>
    <w:rsid w:val="38E53DB3"/>
    <w:rsid w:val="39032473"/>
    <w:rsid w:val="397F1F54"/>
    <w:rsid w:val="3A0C44B2"/>
    <w:rsid w:val="3A161834"/>
    <w:rsid w:val="3A174C7D"/>
    <w:rsid w:val="3AFA604A"/>
    <w:rsid w:val="3B477BFD"/>
    <w:rsid w:val="3B5E6D40"/>
    <w:rsid w:val="3BF23F11"/>
    <w:rsid w:val="3C0E2DA6"/>
    <w:rsid w:val="3C8558CB"/>
    <w:rsid w:val="3CB558F1"/>
    <w:rsid w:val="3D6232F5"/>
    <w:rsid w:val="3D724C04"/>
    <w:rsid w:val="3D7F0DB0"/>
    <w:rsid w:val="3D841FA4"/>
    <w:rsid w:val="3DB333E0"/>
    <w:rsid w:val="3DDE4207"/>
    <w:rsid w:val="3DE66E64"/>
    <w:rsid w:val="3E464A87"/>
    <w:rsid w:val="3E54480F"/>
    <w:rsid w:val="3EF07BF4"/>
    <w:rsid w:val="3F3071F7"/>
    <w:rsid w:val="3FAF769C"/>
    <w:rsid w:val="3FB5735E"/>
    <w:rsid w:val="40685BE3"/>
    <w:rsid w:val="40A66825"/>
    <w:rsid w:val="41AB52CA"/>
    <w:rsid w:val="41C94C19"/>
    <w:rsid w:val="41E257CA"/>
    <w:rsid w:val="420E6166"/>
    <w:rsid w:val="42192683"/>
    <w:rsid w:val="42227CD2"/>
    <w:rsid w:val="42973140"/>
    <w:rsid w:val="432A7E38"/>
    <w:rsid w:val="43311D29"/>
    <w:rsid w:val="43507CA7"/>
    <w:rsid w:val="4351460C"/>
    <w:rsid w:val="435241CD"/>
    <w:rsid w:val="435D33C7"/>
    <w:rsid w:val="435D3DF7"/>
    <w:rsid w:val="43731B9A"/>
    <w:rsid w:val="43794EB7"/>
    <w:rsid w:val="438B5643"/>
    <w:rsid w:val="43F522C6"/>
    <w:rsid w:val="43FB38C5"/>
    <w:rsid w:val="443C58E9"/>
    <w:rsid w:val="4492312F"/>
    <w:rsid w:val="449F159C"/>
    <w:rsid w:val="44F06F4A"/>
    <w:rsid w:val="453258F5"/>
    <w:rsid w:val="4542268F"/>
    <w:rsid w:val="455E35FA"/>
    <w:rsid w:val="4638322B"/>
    <w:rsid w:val="464B6F39"/>
    <w:rsid w:val="464F7281"/>
    <w:rsid w:val="46792F6D"/>
    <w:rsid w:val="468F050D"/>
    <w:rsid w:val="46C95899"/>
    <w:rsid w:val="47002021"/>
    <w:rsid w:val="47182411"/>
    <w:rsid w:val="47554A06"/>
    <w:rsid w:val="4770540F"/>
    <w:rsid w:val="486B14EB"/>
    <w:rsid w:val="48E4521D"/>
    <w:rsid w:val="492243D6"/>
    <w:rsid w:val="49AD1407"/>
    <w:rsid w:val="4A25400C"/>
    <w:rsid w:val="4A315ADF"/>
    <w:rsid w:val="4A916DD9"/>
    <w:rsid w:val="4AA02D52"/>
    <w:rsid w:val="4ADB514E"/>
    <w:rsid w:val="4AEE6EF7"/>
    <w:rsid w:val="4BF474B5"/>
    <w:rsid w:val="4C0C3524"/>
    <w:rsid w:val="4C986428"/>
    <w:rsid w:val="4CC73070"/>
    <w:rsid w:val="4D095D18"/>
    <w:rsid w:val="4D6D2E79"/>
    <w:rsid w:val="4D6F4DFA"/>
    <w:rsid w:val="4D7B0B28"/>
    <w:rsid w:val="4D927E50"/>
    <w:rsid w:val="4E001DE4"/>
    <w:rsid w:val="4ED90560"/>
    <w:rsid w:val="4EF727B7"/>
    <w:rsid w:val="4F2B3B89"/>
    <w:rsid w:val="4F591E60"/>
    <w:rsid w:val="4F691474"/>
    <w:rsid w:val="4F80077E"/>
    <w:rsid w:val="4FF44AE7"/>
    <w:rsid w:val="50276B10"/>
    <w:rsid w:val="50692CC0"/>
    <w:rsid w:val="50975F56"/>
    <w:rsid w:val="509B1B7E"/>
    <w:rsid w:val="50B75E4E"/>
    <w:rsid w:val="50C52300"/>
    <w:rsid w:val="510032F0"/>
    <w:rsid w:val="514B1897"/>
    <w:rsid w:val="518A4820"/>
    <w:rsid w:val="51A604FC"/>
    <w:rsid w:val="51D70E61"/>
    <w:rsid w:val="51E1653A"/>
    <w:rsid w:val="52473A46"/>
    <w:rsid w:val="52A44281"/>
    <w:rsid w:val="52CE2B17"/>
    <w:rsid w:val="52D05ABB"/>
    <w:rsid w:val="52D82511"/>
    <w:rsid w:val="53096468"/>
    <w:rsid w:val="53382C41"/>
    <w:rsid w:val="53417625"/>
    <w:rsid w:val="54784460"/>
    <w:rsid w:val="54CE76FB"/>
    <w:rsid w:val="54EF4241"/>
    <w:rsid w:val="551E6943"/>
    <w:rsid w:val="55376A3E"/>
    <w:rsid w:val="55CD0CEB"/>
    <w:rsid w:val="565F6FDB"/>
    <w:rsid w:val="56C864D0"/>
    <w:rsid w:val="572B4EA5"/>
    <w:rsid w:val="574F21F0"/>
    <w:rsid w:val="57C14BCB"/>
    <w:rsid w:val="58DD6B57"/>
    <w:rsid w:val="59BB7A0F"/>
    <w:rsid w:val="59EB5733"/>
    <w:rsid w:val="5A14590E"/>
    <w:rsid w:val="5A8F44F4"/>
    <w:rsid w:val="5B452D66"/>
    <w:rsid w:val="5B5F648F"/>
    <w:rsid w:val="5B75737E"/>
    <w:rsid w:val="5B7A5E2E"/>
    <w:rsid w:val="5B993485"/>
    <w:rsid w:val="5BD36489"/>
    <w:rsid w:val="5C114C8C"/>
    <w:rsid w:val="5C3421E0"/>
    <w:rsid w:val="5C602D04"/>
    <w:rsid w:val="5D036F31"/>
    <w:rsid w:val="5D3A74F7"/>
    <w:rsid w:val="5E117943"/>
    <w:rsid w:val="5E2265B1"/>
    <w:rsid w:val="5E236113"/>
    <w:rsid w:val="5E335A38"/>
    <w:rsid w:val="5EAC1022"/>
    <w:rsid w:val="5EB671BA"/>
    <w:rsid w:val="5F851BC3"/>
    <w:rsid w:val="5F947ED9"/>
    <w:rsid w:val="5FFD3FFB"/>
    <w:rsid w:val="60CC2A8C"/>
    <w:rsid w:val="60FD688D"/>
    <w:rsid w:val="611852C4"/>
    <w:rsid w:val="61AE3945"/>
    <w:rsid w:val="61B02A72"/>
    <w:rsid w:val="61B546B9"/>
    <w:rsid w:val="61B95F74"/>
    <w:rsid w:val="61C71291"/>
    <w:rsid w:val="62492B7F"/>
    <w:rsid w:val="626409D0"/>
    <w:rsid w:val="626413B5"/>
    <w:rsid w:val="62696BF1"/>
    <w:rsid w:val="62E600C1"/>
    <w:rsid w:val="63CB07D2"/>
    <w:rsid w:val="65555722"/>
    <w:rsid w:val="655E6176"/>
    <w:rsid w:val="65AD2E81"/>
    <w:rsid w:val="65D321B8"/>
    <w:rsid w:val="66681E53"/>
    <w:rsid w:val="66BF75C5"/>
    <w:rsid w:val="675414C3"/>
    <w:rsid w:val="677204B5"/>
    <w:rsid w:val="67C80AFC"/>
    <w:rsid w:val="684B6D83"/>
    <w:rsid w:val="68B27F0E"/>
    <w:rsid w:val="68D26BBC"/>
    <w:rsid w:val="68D43D40"/>
    <w:rsid w:val="68FC134E"/>
    <w:rsid w:val="690C138A"/>
    <w:rsid w:val="6977262C"/>
    <w:rsid w:val="698E1C98"/>
    <w:rsid w:val="69C45F87"/>
    <w:rsid w:val="69DC63D1"/>
    <w:rsid w:val="6A5D029E"/>
    <w:rsid w:val="6AAA264D"/>
    <w:rsid w:val="6B052366"/>
    <w:rsid w:val="6B186859"/>
    <w:rsid w:val="6CF96414"/>
    <w:rsid w:val="6D1E541F"/>
    <w:rsid w:val="6D546E0E"/>
    <w:rsid w:val="6D715EEA"/>
    <w:rsid w:val="6DB37F33"/>
    <w:rsid w:val="6E0A7AC3"/>
    <w:rsid w:val="6E227DFB"/>
    <w:rsid w:val="6E6846C9"/>
    <w:rsid w:val="6E7F698B"/>
    <w:rsid w:val="6E8212AD"/>
    <w:rsid w:val="6F3B0BE8"/>
    <w:rsid w:val="6F431E6A"/>
    <w:rsid w:val="6F6E64FF"/>
    <w:rsid w:val="6FB704DA"/>
    <w:rsid w:val="6FFC3AD3"/>
    <w:rsid w:val="70AD61AD"/>
    <w:rsid w:val="70D711B4"/>
    <w:rsid w:val="70E4510C"/>
    <w:rsid w:val="7190372A"/>
    <w:rsid w:val="71B8575A"/>
    <w:rsid w:val="72305656"/>
    <w:rsid w:val="72905F39"/>
    <w:rsid w:val="729E2CC2"/>
    <w:rsid w:val="72D92B5C"/>
    <w:rsid w:val="733D7914"/>
    <w:rsid w:val="7384672E"/>
    <w:rsid w:val="73A33D91"/>
    <w:rsid w:val="73DB4E43"/>
    <w:rsid w:val="73EB1DE7"/>
    <w:rsid w:val="741B4199"/>
    <w:rsid w:val="744464F4"/>
    <w:rsid w:val="7453080F"/>
    <w:rsid w:val="747504D0"/>
    <w:rsid w:val="74A23C66"/>
    <w:rsid w:val="74DA76D6"/>
    <w:rsid w:val="74FE3934"/>
    <w:rsid w:val="75240B95"/>
    <w:rsid w:val="75781733"/>
    <w:rsid w:val="757C3C57"/>
    <w:rsid w:val="758B6E10"/>
    <w:rsid w:val="759904CE"/>
    <w:rsid w:val="759C779D"/>
    <w:rsid w:val="76544DF8"/>
    <w:rsid w:val="76A66B04"/>
    <w:rsid w:val="76C97D41"/>
    <w:rsid w:val="771D3957"/>
    <w:rsid w:val="77741B40"/>
    <w:rsid w:val="77D32353"/>
    <w:rsid w:val="77EA5EBA"/>
    <w:rsid w:val="78023EE3"/>
    <w:rsid w:val="78636866"/>
    <w:rsid w:val="78F30358"/>
    <w:rsid w:val="79540D85"/>
    <w:rsid w:val="79555E08"/>
    <w:rsid w:val="797C49A0"/>
    <w:rsid w:val="79931412"/>
    <w:rsid w:val="79E53FF7"/>
    <w:rsid w:val="7A2E397B"/>
    <w:rsid w:val="7A8C5A35"/>
    <w:rsid w:val="7AE95561"/>
    <w:rsid w:val="7B89595F"/>
    <w:rsid w:val="7BF340C2"/>
    <w:rsid w:val="7CBB533B"/>
    <w:rsid w:val="7CF42FC3"/>
    <w:rsid w:val="7DBB217A"/>
    <w:rsid w:val="7E1C5E2A"/>
    <w:rsid w:val="7E675F6F"/>
    <w:rsid w:val="7E876ED0"/>
    <w:rsid w:val="7EC56B37"/>
    <w:rsid w:val="7EDE2997"/>
    <w:rsid w:val="7EEB373D"/>
    <w:rsid w:val="7EFC6BD6"/>
    <w:rsid w:val="7F567C8E"/>
    <w:rsid w:val="7FBA00AE"/>
    <w:rsid w:val="7FBD4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0"/>
    <w:pPr>
      <w:keepNext/>
      <w:keepLines/>
      <w:numPr>
        <w:ilvl w:val="0"/>
        <w:numId w:val="1"/>
      </w:numPr>
      <w:ind w:left="0" w:hanging="200" w:hangingChars="200"/>
      <w:outlineLvl w:val="0"/>
    </w:pPr>
    <w:rPr>
      <w:rFonts w:ascii="Times New Roman" w:hAnsi="Times New Roman" w:eastAsia="华文宋体"/>
      <w:b/>
      <w:bCs/>
      <w:kern w:val="44"/>
      <w:sz w:val="32"/>
      <w:szCs w:val="44"/>
    </w:rPr>
  </w:style>
  <w:style w:type="paragraph" w:styleId="3">
    <w:name w:val="heading 2"/>
    <w:basedOn w:val="1"/>
    <w:next w:val="1"/>
    <w:link w:val="26"/>
    <w:unhideWhenUsed/>
    <w:qFormat/>
    <w:uiPriority w:val="0"/>
    <w:pPr>
      <w:keepNext/>
      <w:keepLines/>
      <w:outlineLvl w:val="1"/>
    </w:pPr>
    <w:rPr>
      <w:rFonts w:ascii="Times New Roman" w:hAnsi="Times New Roman" w:eastAsia="华文宋体" w:cstheme="majorBidi"/>
      <w:b/>
      <w:bCs/>
      <w:sz w:val="32"/>
      <w:szCs w:val="32"/>
    </w:rPr>
  </w:style>
  <w:style w:type="paragraph" w:styleId="4">
    <w:name w:val="heading 3"/>
    <w:basedOn w:val="1"/>
    <w:next w:val="1"/>
    <w:link w:val="28"/>
    <w:unhideWhenUsed/>
    <w:qFormat/>
    <w:uiPriority w:val="0"/>
    <w:pPr>
      <w:keepNext/>
      <w:keepLines/>
      <w:outlineLvl w:val="2"/>
    </w:pPr>
    <w:rPr>
      <w:rFonts w:ascii="Times New Roman" w:hAnsi="Times New Roman" w:eastAsia="华文宋体"/>
      <w:b/>
      <w:bCs/>
      <w:sz w:val="30"/>
      <w:szCs w:val="32"/>
    </w:rPr>
  </w:style>
  <w:style w:type="paragraph" w:styleId="5">
    <w:name w:val="heading 4"/>
    <w:basedOn w:val="1"/>
    <w:next w:val="1"/>
    <w:link w:val="29"/>
    <w:unhideWhenUsed/>
    <w:qFormat/>
    <w:uiPriority w:val="0"/>
    <w:pPr>
      <w:keepNext/>
      <w:keepLines/>
      <w:outlineLvl w:val="3"/>
    </w:pPr>
    <w:rPr>
      <w:rFonts w:ascii="Times New Roman" w:hAnsi="Times New Roman" w:eastAsia="华文宋体" w:cstheme="majorBidi"/>
      <w:b/>
      <w:bCs/>
      <w:sz w:val="28"/>
      <w:szCs w:val="28"/>
    </w:rPr>
  </w:style>
  <w:style w:type="paragraph" w:styleId="6">
    <w:name w:val="heading 5"/>
    <w:basedOn w:val="1"/>
    <w:next w:val="1"/>
    <w:link w:val="30"/>
    <w:unhideWhenUsed/>
    <w:qFormat/>
    <w:uiPriority w:val="0"/>
    <w:pPr>
      <w:keepNext/>
      <w:keepLines/>
      <w:spacing w:before="280" w:after="290" w:line="376" w:lineRule="auto"/>
      <w:outlineLvl w:val="4"/>
    </w:pPr>
    <w:rPr>
      <w:b/>
      <w:bCs/>
      <w:sz w:val="28"/>
      <w:szCs w:val="28"/>
    </w:rPr>
  </w:style>
  <w:style w:type="character" w:default="1" w:styleId="13">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7">
    <w:name w:val="toc 3"/>
    <w:basedOn w:val="1"/>
    <w:next w:val="1"/>
    <w:qFormat/>
    <w:uiPriority w:val="39"/>
    <w:pPr>
      <w:ind w:left="840" w:leftChars="400"/>
    </w:pPr>
  </w:style>
  <w:style w:type="paragraph" w:styleId="8">
    <w:name w:val="Balloon Text"/>
    <w:basedOn w:val="1"/>
    <w:link w:val="25"/>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18">
    <w:name w:val="遥感表格"/>
    <w:basedOn w:val="1"/>
    <w:qFormat/>
    <w:uiPriority w:val="0"/>
    <w:pPr>
      <w:jc w:val="center"/>
    </w:pPr>
    <w:rPr>
      <w:rFonts w:ascii="仿宋_GB2312" w:eastAsia="仿宋_GB2312"/>
    </w:rPr>
  </w:style>
  <w:style w:type="paragraph" w:styleId="19">
    <w:name w:val="List Paragraph"/>
    <w:basedOn w:val="1"/>
    <w:qFormat/>
    <w:uiPriority w:val="99"/>
    <w:pPr>
      <w:ind w:firstLine="420" w:firstLineChars="200"/>
    </w:pPr>
  </w:style>
  <w:style w:type="character" w:customStyle="1" w:styleId="20">
    <w:name w:val="fontstyle21"/>
    <w:basedOn w:val="13"/>
    <w:qFormat/>
    <w:uiPriority w:val="0"/>
    <w:rPr>
      <w:rFonts w:hint="default" w:ascii="Calibri" w:hAnsi="Calibri"/>
      <w:color w:val="000000"/>
      <w:sz w:val="32"/>
      <w:szCs w:val="32"/>
    </w:rPr>
  </w:style>
  <w:style w:type="character" w:customStyle="1" w:styleId="21">
    <w:name w:val="fontstyle01"/>
    <w:basedOn w:val="13"/>
    <w:qFormat/>
    <w:uiPriority w:val="99"/>
    <w:rPr>
      <w:rFonts w:hint="eastAsia" w:ascii="仿宋_GB2312" w:eastAsia="仿宋_GB2312"/>
      <w:color w:val="000000"/>
      <w:sz w:val="32"/>
      <w:szCs w:val="32"/>
    </w:rPr>
  </w:style>
  <w:style w:type="paragraph" w:customStyle="1" w:styleId="22">
    <w:name w:val="列出段落1"/>
    <w:basedOn w:val="1"/>
    <w:qFormat/>
    <w:uiPriority w:val="99"/>
    <w:pPr>
      <w:ind w:firstLine="420" w:firstLineChars="200"/>
    </w:pPr>
  </w:style>
  <w:style w:type="character" w:customStyle="1" w:styleId="23">
    <w:name w:val="页眉 字符"/>
    <w:basedOn w:val="13"/>
    <w:link w:val="10"/>
    <w:qFormat/>
    <w:uiPriority w:val="0"/>
    <w:rPr>
      <w:rFonts w:asciiTheme="minorHAnsi" w:hAnsiTheme="minorHAnsi" w:eastAsiaTheme="minorEastAsia" w:cstheme="minorBidi"/>
      <w:kern w:val="2"/>
      <w:sz w:val="18"/>
      <w:szCs w:val="18"/>
    </w:rPr>
  </w:style>
  <w:style w:type="character" w:customStyle="1" w:styleId="24">
    <w:name w:val="页脚 字符"/>
    <w:basedOn w:val="13"/>
    <w:link w:val="9"/>
    <w:qFormat/>
    <w:uiPriority w:val="99"/>
    <w:rPr>
      <w:rFonts w:asciiTheme="minorHAnsi" w:hAnsiTheme="minorHAnsi" w:eastAsiaTheme="minorEastAsia" w:cstheme="minorBidi"/>
      <w:kern w:val="2"/>
      <w:sz w:val="18"/>
      <w:szCs w:val="18"/>
    </w:rPr>
  </w:style>
  <w:style w:type="character" w:customStyle="1" w:styleId="25">
    <w:name w:val="批注框文本 字符"/>
    <w:basedOn w:val="13"/>
    <w:link w:val="8"/>
    <w:qFormat/>
    <w:uiPriority w:val="0"/>
    <w:rPr>
      <w:rFonts w:asciiTheme="minorHAnsi" w:hAnsiTheme="minorHAnsi" w:eastAsiaTheme="minorEastAsia" w:cstheme="minorBidi"/>
      <w:kern w:val="2"/>
      <w:sz w:val="18"/>
      <w:szCs w:val="18"/>
    </w:rPr>
  </w:style>
  <w:style w:type="character" w:customStyle="1" w:styleId="26">
    <w:name w:val="标题 2 字符"/>
    <w:basedOn w:val="13"/>
    <w:link w:val="3"/>
    <w:qFormat/>
    <w:uiPriority w:val="0"/>
    <w:rPr>
      <w:rFonts w:eastAsia="华文宋体" w:cstheme="majorBidi"/>
      <w:b/>
      <w:bCs/>
      <w:kern w:val="2"/>
      <w:sz w:val="32"/>
      <w:szCs w:val="32"/>
    </w:rPr>
  </w:style>
  <w:style w:type="character" w:customStyle="1" w:styleId="27">
    <w:name w:val="标题 1 字符"/>
    <w:basedOn w:val="13"/>
    <w:link w:val="2"/>
    <w:qFormat/>
    <w:uiPriority w:val="0"/>
    <w:rPr>
      <w:rFonts w:eastAsia="华文宋体" w:cstheme="minorBidi"/>
      <w:b/>
      <w:bCs/>
      <w:kern w:val="44"/>
      <w:sz w:val="32"/>
      <w:szCs w:val="44"/>
    </w:rPr>
  </w:style>
  <w:style w:type="character" w:customStyle="1" w:styleId="28">
    <w:name w:val="标题 3 字符"/>
    <w:basedOn w:val="13"/>
    <w:link w:val="4"/>
    <w:qFormat/>
    <w:uiPriority w:val="0"/>
    <w:rPr>
      <w:rFonts w:eastAsia="华文宋体" w:cstheme="minorBidi"/>
      <w:b/>
      <w:bCs/>
      <w:kern w:val="2"/>
      <w:sz w:val="30"/>
      <w:szCs w:val="32"/>
    </w:rPr>
  </w:style>
  <w:style w:type="character" w:customStyle="1" w:styleId="29">
    <w:name w:val="标题 4 字符"/>
    <w:basedOn w:val="13"/>
    <w:link w:val="5"/>
    <w:qFormat/>
    <w:uiPriority w:val="0"/>
    <w:rPr>
      <w:rFonts w:eastAsia="华文宋体" w:cstheme="majorBidi"/>
      <w:b/>
      <w:bCs/>
      <w:kern w:val="2"/>
      <w:sz w:val="28"/>
      <w:szCs w:val="28"/>
    </w:rPr>
  </w:style>
  <w:style w:type="character" w:customStyle="1" w:styleId="30">
    <w:name w:val="标题 5 字符"/>
    <w:basedOn w:val="13"/>
    <w:link w:val="6"/>
    <w:qFormat/>
    <w:uiPriority w:val="0"/>
    <w:rPr>
      <w:rFonts w:asciiTheme="minorHAnsi" w:hAnsiTheme="minorHAnsi" w:eastAsiaTheme="minorEastAsia" w:cstheme="min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B449C0-BF31-4BE6-993D-53532F3B227F}">
  <ds:schemaRefs/>
</ds:datastoreItem>
</file>

<file path=docProps/app.xml><?xml version="1.0" encoding="utf-8"?>
<Properties xmlns="http://schemas.openxmlformats.org/officeDocument/2006/extended-properties" xmlns:vt="http://schemas.openxmlformats.org/officeDocument/2006/docPropsVTypes">
  <Template>Normal.dotm</Template>
  <Pages>150</Pages>
  <Words>60035</Words>
  <Characters>69480</Characters>
  <Lines>548</Lines>
  <Paragraphs>154</Paragraphs>
  <TotalTime>15</TotalTime>
  <ScaleCrop>false</ScaleCrop>
  <LinksUpToDate>false</LinksUpToDate>
  <CharactersWithSpaces>70816</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2018-07-03T07:25:00Z</dcterms:created>
  <dc:creator>Administrator</dc:creator>
  <cp:lastModifiedBy>王丽群</cp:lastModifiedBy>
  <dcterms:modified xsi:type="dcterms:W3CDTF">2018-12-28T09:16:15Z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